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564D9AD" w14:textId="21AD54B6" w:rsidR="003E5B95" w:rsidRPr="00A22D89" w:rsidRDefault="003E5B95" w:rsidP="003E5B95">
      <w:pPr>
        <w:pStyle w:val="Title"/>
        <w:spacing w:line="240" w:lineRule="auto"/>
        <w:rPr>
          <w:color w:val="000000" w:themeColor="text1"/>
        </w:rPr>
      </w:pPr>
      <w:r>
        <w:rPr>
          <w:color w:val="000000" w:themeColor="text1"/>
        </w:rPr>
        <w:t>the role of stre</w:t>
      </w:r>
      <w:r w:rsidR="00EF294C">
        <w:rPr>
          <w:color w:val="000000" w:themeColor="text1"/>
        </w:rPr>
        <w:t>SS</w:t>
      </w:r>
      <w:r>
        <w:rPr>
          <w:color w:val="000000" w:themeColor="text1"/>
        </w:rPr>
        <w:t xml:space="preserve"> among cybersecurity professionals</w:t>
      </w:r>
    </w:p>
    <w:p w14:paraId="08FF81EA" w14:textId="77777777" w:rsidR="003E5B95" w:rsidRPr="00A22D89" w:rsidRDefault="003E5B95" w:rsidP="003E5B95">
      <w:pPr>
        <w:spacing w:line="360" w:lineRule="auto"/>
        <w:ind w:firstLine="0"/>
        <w:rPr>
          <w:color w:val="000000" w:themeColor="text1"/>
        </w:rPr>
      </w:pPr>
    </w:p>
    <w:p w14:paraId="4D27AD19" w14:textId="77777777" w:rsidR="003E5B95" w:rsidRPr="00A22D89" w:rsidRDefault="003E5B95" w:rsidP="003E5B95">
      <w:pPr>
        <w:spacing w:line="360" w:lineRule="auto"/>
        <w:ind w:firstLine="0"/>
        <w:rPr>
          <w:color w:val="000000" w:themeColor="text1"/>
        </w:rPr>
      </w:pPr>
    </w:p>
    <w:p w14:paraId="06286FAD" w14:textId="77777777" w:rsidR="003E5B95" w:rsidRPr="00A22D89" w:rsidRDefault="003E5B95" w:rsidP="003E5B95">
      <w:pPr>
        <w:spacing w:line="240" w:lineRule="auto"/>
        <w:ind w:firstLine="0"/>
        <w:jc w:val="center"/>
        <w:rPr>
          <w:color w:val="000000" w:themeColor="text1"/>
        </w:rPr>
      </w:pPr>
      <w:r w:rsidRPr="00A22D89">
        <w:rPr>
          <w:color w:val="000000" w:themeColor="text1"/>
        </w:rPr>
        <w:t>by</w:t>
      </w:r>
    </w:p>
    <w:p w14:paraId="58510049" w14:textId="77777777" w:rsidR="003E5B95" w:rsidRPr="00A22D89" w:rsidRDefault="003E5B95" w:rsidP="003E5B95">
      <w:pPr>
        <w:spacing w:line="360" w:lineRule="auto"/>
        <w:ind w:firstLine="0"/>
        <w:jc w:val="center"/>
        <w:rPr>
          <w:color w:val="000000" w:themeColor="text1"/>
        </w:rPr>
      </w:pPr>
    </w:p>
    <w:p w14:paraId="3684D274" w14:textId="77777777" w:rsidR="003E5B95" w:rsidRPr="00A22D89" w:rsidRDefault="003E5B95" w:rsidP="003E5B95">
      <w:pPr>
        <w:spacing w:line="240" w:lineRule="auto"/>
        <w:ind w:firstLine="0"/>
        <w:jc w:val="center"/>
        <w:rPr>
          <w:color w:val="000000" w:themeColor="text1"/>
        </w:rPr>
      </w:pPr>
      <w:r w:rsidRPr="00A22D89">
        <w:rPr>
          <w:color w:val="000000" w:themeColor="text1"/>
        </w:rPr>
        <w:t>T</w:t>
      </w:r>
      <w:r>
        <w:rPr>
          <w:color w:val="000000" w:themeColor="text1"/>
        </w:rPr>
        <w:t>RIPTI SINGH</w:t>
      </w:r>
    </w:p>
    <w:p w14:paraId="208A6F21" w14:textId="77777777" w:rsidR="003E5B95" w:rsidRPr="00A22D89" w:rsidRDefault="003E5B95" w:rsidP="003E5B95">
      <w:pPr>
        <w:spacing w:line="360" w:lineRule="auto"/>
        <w:ind w:firstLine="0"/>
        <w:jc w:val="center"/>
        <w:rPr>
          <w:color w:val="000000" w:themeColor="text1"/>
        </w:rPr>
      </w:pPr>
    </w:p>
    <w:p w14:paraId="79D6074C" w14:textId="77777777" w:rsidR="003E5B95" w:rsidRPr="00A22D89" w:rsidRDefault="003E5B95" w:rsidP="003E5B95">
      <w:pPr>
        <w:spacing w:line="240" w:lineRule="auto"/>
        <w:ind w:firstLine="0"/>
        <w:jc w:val="center"/>
        <w:rPr>
          <w:color w:val="000000" w:themeColor="text1"/>
        </w:rPr>
      </w:pPr>
      <w:r>
        <w:rPr>
          <w:color w:val="000000" w:themeColor="text1"/>
        </w:rPr>
        <w:t>ALLEN C. JOHNSTON</w:t>
      </w:r>
      <w:r w:rsidRPr="00A22D89">
        <w:rPr>
          <w:color w:val="000000" w:themeColor="text1"/>
        </w:rPr>
        <w:t>, COMMITTEE</w:t>
      </w:r>
      <w:r>
        <w:rPr>
          <w:color w:val="000000" w:themeColor="text1"/>
        </w:rPr>
        <w:t xml:space="preserve"> </w:t>
      </w:r>
      <w:r w:rsidRPr="00A22D89">
        <w:rPr>
          <w:color w:val="000000" w:themeColor="text1"/>
        </w:rPr>
        <w:t>CHAIR</w:t>
      </w:r>
    </w:p>
    <w:p w14:paraId="22E2E54C" w14:textId="77777777" w:rsidR="003E5B95" w:rsidRPr="00A22D89" w:rsidRDefault="003E5B95" w:rsidP="003E5B95">
      <w:pPr>
        <w:spacing w:line="240" w:lineRule="auto"/>
        <w:ind w:firstLine="0"/>
        <w:jc w:val="center"/>
        <w:rPr>
          <w:color w:val="000000" w:themeColor="text1"/>
        </w:rPr>
      </w:pPr>
      <w:r>
        <w:rPr>
          <w:color w:val="000000" w:themeColor="text1"/>
        </w:rPr>
        <w:t>JOHN D’ARCY</w:t>
      </w:r>
    </w:p>
    <w:p w14:paraId="758363A8" w14:textId="77777777" w:rsidR="003E5B95" w:rsidRPr="00A22D89" w:rsidRDefault="003E5B95" w:rsidP="003E5B95">
      <w:pPr>
        <w:spacing w:line="240" w:lineRule="auto"/>
        <w:ind w:firstLine="0"/>
        <w:jc w:val="center"/>
        <w:rPr>
          <w:color w:val="000000" w:themeColor="text1"/>
        </w:rPr>
      </w:pPr>
      <w:r>
        <w:rPr>
          <w:color w:val="000000" w:themeColor="text1"/>
        </w:rPr>
        <w:t>PETER D. HARMS</w:t>
      </w:r>
    </w:p>
    <w:p w14:paraId="4C931612" w14:textId="77777777" w:rsidR="003E5B95" w:rsidRPr="00A22D89" w:rsidRDefault="003E5B95" w:rsidP="003E5B95">
      <w:pPr>
        <w:spacing w:line="240" w:lineRule="auto"/>
        <w:ind w:firstLine="0"/>
        <w:jc w:val="center"/>
        <w:rPr>
          <w:color w:val="000000" w:themeColor="text1"/>
        </w:rPr>
      </w:pPr>
      <w:r w:rsidRPr="00A22D89">
        <w:rPr>
          <w:color w:val="000000" w:themeColor="text1"/>
        </w:rPr>
        <w:t>MATTHEW HUDNALL</w:t>
      </w:r>
    </w:p>
    <w:p w14:paraId="41C29C10" w14:textId="77777777" w:rsidR="003E5B95" w:rsidRPr="00A22D89" w:rsidRDefault="003E5B95" w:rsidP="003E5B95">
      <w:pPr>
        <w:spacing w:line="240" w:lineRule="auto"/>
        <w:ind w:firstLine="0"/>
        <w:jc w:val="center"/>
        <w:rPr>
          <w:color w:val="000000" w:themeColor="text1"/>
        </w:rPr>
      </w:pPr>
      <w:r>
        <w:rPr>
          <w:color w:val="000000" w:themeColor="text1"/>
        </w:rPr>
        <w:t>GREGORY J. BOTT</w:t>
      </w:r>
    </w:p>
    <w:p w14:paraId="61E9DE63" w14:textId="77777777" w:rsidR="003E5B95" w:rsidRPr="00A22D89" w:rsidRDefault="003E5B95" w:rsidP="003E5B95">
      <w:pPr>
        <w:spacing w:line="360" w:lineRule="auto"/>
        <w:ind w:firstLine="0"/>
        <w:jc w:val="center"/>
        <w:rPr>
          <w:color w:val="000000" w:themeColor="text1"/>
        </w:rPr>
      </w:pPr>
    </w:p>
    <w:p w14:paraId="64056E3B" w14:textId="77777777" w:rsidR="003E5B95" w:rsidRPr="00A22D89" w:rsidRDefault="003E5B95" w:rsidP="003E5B95">
      <w:pPr>
        <w:spacing w:line="360" w:lineRule="auto"/>
        <w:ind w:firstLine="0"/>
        <w:jc w:val="center"/>
        <w:rPr>
          <w:color w:val="000000" w:themeColor="text1"/>
        </w:rPr>
      </w:pPr>
    </w:p>
    <w:p w14:paraId="3F62A759" w14:textId="77777777" w:rsidR="003E5B95" w:rsidRPr="00A22D89" w:rsidRDefault="003E5B95" w:rsidP="003E5B95">
      <w:pPr>
        <w:spacing w:line="240" w:lineRule="auto"/>
        <w:ind w:firstLine="0"/>
        <w:jc w:val="center"/>
        <w:rPr>
          <w:color w:val="000000" w:themeColor="text1"/>
        </w:rPr>
      </w:pPr>
      <w:r w:rsidRPr="00A22D89">
        <w:rPr>
          <w:color w:val="000000" w:themeColor="text1"/>
        </w:rPr>
        <w:t>A DISSERTATION</w:t>
      </w:r>
    </w:p>
    <w:p w14:paraId="46BAD9F9" w14:textId="77777777" w:rsidR="003E5B95" w:rsidRPr="00A22D89" w:rsidRDefault="003E5B95" w:rsidP="003E5B95">
      <w:pPr>
        <w:spacing w:line="360" w:lineRule="auto"/>
        <w:ind w:firstLine="0"/>
        <w:jc w:val="center"/>
        <w:rPr>
          <w:color w:val="000000" w:themeColor="text1"/>
        </w:rPr>
      </w:pPr>
    </w:p>
    <w:p w14:paraId="0948FABB" w14:textId="77777777" w:rsidR="003E5B95" w:rsidRPr="00A22D89" w:rsidRDefault="003E5B95" w:rsidP="003E5B95">
      <w:pPr>
        <w:spacing w:line="360" w:lineRule="auto"/>
        <w:ind w:firstLine="0"/>
        <w:jc w:val="center"/>
        <w:rPr>
          <w:color w:val="000000" w:themeColor="text1"/>
        </w:rPr>
      </w:pPr>
    </w:p>
    <w:p w14:paraId="4FC7802B" w14:textId="77777777" w:rsidR="003E5B95" w:rsidRPr="00A22D89" w:rsidRDefault="003E5B95" w:rsidP="003E5B95">
      <w:pPr>
        <w:spacing w:line="240" w:lineRule="auto"/>
        <w:ind w:firstLine="0"/>
        <w:jc w:val="center"/>
        <w:rPr>
          <w:color w:val="000000" w:themeColor="text1"/>
        </w:rPr>
      </w:pPr>
      <w:r w:rsidRPr="00A22D89">
        <w:rPr>
          <w:color w:val="000000" w:themeColor="text1"/>
        </w:rPr>
        <w:t>Submitted in partial fulfillment of the requirements</w:t>
      </w:r>
    </w:p>
    <w:p w14:paraId="338CE037" w14:textId="77777777" w:rsidR="003E5B95" w:rsidRPr="00A22D89" w:rsidRDefault="003E5B95" w:rsidP="003E5B95">
      <w:pPr>
        <w:spacing w:line="240" w:lineRule="auto"/>
        <w:ind w:firstLine="0"/>
        <w:jc w:val="center"/>
        <w:rPr>
          <w:color w:val="000000" w:themeColor="text1"/>
        </w:rPr>
      </w:pPr>
      <w:r w:rsidRPr="00A22D89">
        <w:rPr>
          <w:color w:val="000000" w:themeColor="text1"/>
        </w:rPr>
        <w:t>for the degree of Doctor of Philosophy</w:t>
      </w:r>
    </w:p>
    <w:p w14:paraId="3E827BB7" w14:textId="77777777" w:rsidR="003E5B95" w:rsidRPr="00A22D89" w:rsidRDefault="003E5B95" w:rsidP="003E5B95">
      <w:pPr>
        <w:spacing w:line="240" w:lineRule="auto"/>
        <w:ind w:firstLine="0"/>
        <w:jc w:val="center"/>
        <w:rPr>
          <w:color w:val="000000" w:themeColor="text1"/>
        </w:rPr>
      </w:pPr>
      <w:r w:rsidRPr="00A22D89">
        <w:rPr>
          <w:color w:val="000000" w:themeColor="text1"/>
        </w:rPr>
        <w:t>in the Department of Information Systems, Statistics, and Management Science</w:t>
      </w:r>
    </w:p>
    <w:p w14:paraId="2ED0FE3D" w14:textId="77777777" w:rsidR="003E5B95" w:rsidRPr="00A22D89" w:rsidRDefault="003E5B95" w:rsidP="003E5B95">
      <w:pPr>
        <w:spacing w:line="240" w:lineRule="auto"/>
        <w:ind w:firstLine="0"/>
        <w:jc w:val="center"/>
        <w:rPr>
          <w:color w:val="000000" w:themeColor="text1"/>
        </w:rPr>
      </w:pPr>
      <w:r w:rsidRPr="00A22D89">
        <w:rPr>
          <w:color w:val="000000" w:themeColor="text1"/>
        </w:rPr>
        <w:t>in the Graduate School of</w:t>
      </w:r>
    </w:p>
    <w:p w14:paraId="22B62D13" w14:textId="77777777" w:rsidR="003E5B95" w:rsidRPr="00A22D89" w:rsidRDefault="003E5B95" w:rsidP="003E5B95">
      <w:pPr>
        <w:spacing w:line="240" w:lineRule="auto"/>
        <w:ind w:firstLine="0"/>
        <w:jc w:val="center"/>
        <w:rPr>
          <w:color w:val="000000" w:themeColor="text1"/>
        </w:rPr>
      </w:pPr>
      <w:r w:rsidRPr="00A22D89">
        <w:rPr>
          <w:color w:val="000000" w:themeColor="text1"/>
        </w:rPr>
        <w:t>The University of Alabama</w:t>
      </w:r>
    </w:p>
    <w:p w14:paraId="41EBED3F" w14:textId="77777777" w:rsidR="003E5B95" w:rsidRPr="00A22D89" w:rsidRDefault="003E5B95" w:rsidP="003E5B95">
      <w:pPr>
        <w:spacing w:line="360" w:lineRule="auto"/>
        <w:ind w:firstLine="0"/>
        <w:jc w:val="center"/>
        <w:rPr>
          <w:color w:val="000000" w:themeColor="text1"/>
        </w:rPr>
      </w:pPr>
    </w:p>
    <w:p w14:paraId="12F95E55" w14:textId="77777777" w:rsidR="003E5B95" w:rsidRPr="00A22D89" w:rsidRDefault="003E5B95" w:rsidP="003E5B95">
      <w:pPr>
        <w:spacing w:line="360" w:lineRule="auto"/>
        <w:ind w:firstLine="0"/>
        <w:jc w:val="center"/>
        <w:rPr>
          <w:color w:val="000000" w:themeColor="text1"/>
        </w:rPr>
      </w:pPr>
    </w:p>
    <w:p w14:paraId="03A4B18F" w14:textId="77777777" w:rsidR="003E5B95" w:rsidRPr="00A22D89" w:rsidRDefault="003E5B95" w:rsidP="003E5B95">
      <w:pPr>
        <w:spacing w:line="360" w:lineRule="auto"/>
        <w:ind w:firstLine="0"/>
        <w:jc w:val="center"/>
        <w:rPr>
          <w:color w:val="000000" w:themeColor="text1"/>
        </w:rPr>
      </w:pPr>
    </w:p>
    <w:p w14:paraId="603C63C9" w14:textId="77777777" w:rsidR="003E5B95" w:rsidRPr="00A22D89" w:rsidRDefault="003E5B95" w:rsidP="003E5B95">
      <w:pPr>
        <w:spacing w:line="240" w:lineRule="auto"/>
        <w:ind w:firstLine="0"/>
        <w:jc w:val="center"/>
        <w:rPr>
          <w:color w:val="000000" w:themeColor="text1"/>
        </w:rPr>
      </w:pPr>
      <w:r w:rsidRPr="00A22D89">
        <w:rPr>
          <w:color w:val="000000" w:themeColor="text1"/>
        </w:rPr>
        <w:t>TUSCALOOSA, ALABAMA</w:t>
      </w:r>
    </w:p>
    <w:p w14:paraId="07CCEFA3" w14:textId="77777777" w:rsidR="003E5B95" w:rsidRPr="00A22D89" w:rsidRDefault="003E5B95" w:rsidP="003E5B95">
      <w:pPr>
        <w:spacing w:line="360" w:lineRule="auto"/>
        <w:ind w:firstLine="0"/>
        <w:jc w:val="center"/>
        <w:rPr>
          <w:color w:val="000000" w:themeColor="text1"/>
        </w:rPr>
      </w:pPr>
    </w:p>
    <w:p w14:paraId="5C11FCFB" w14:textId="77777777" w:rsidR="003E5B95" w:rsidRPr="00A22D89" w:rsidRDefault="003E5B95" w:rsidP="003E5B95">
      <w:pPr>
        <w:spacing w:line="360" w:lineRule="auto"/>
        <w:ind w:firstLine="0"/>
        <w:jc w:val="center"/>
        <w:rPr>
          <w:color w:val="000000" w:themeColor="text1"/>
        </w:rPr>
      </w:pPr>
    </w:p>
    <w:p w14:paraId="7B3DFF17" w14:textId="77777777" w:rsidR="00723F38" w:rsidRDefault="003E5B95" w:rsidP="003E5B95">
      <w:pPr>
        <w:spacing w:line="240" w:lineRule="auto"/>
        <w:ind w:firstLine="0"/>
        <w:jc w:val="center"/>
        <w:rPr>
          <w:color w:val="000000" w:themeColor="text1"/>
        </w:rPr>
        <w:sectPr w:rsidR="00723F38" w:rsidSect="00723F38">
          <w:headerReference w:type="default" r:id="rId8"/>
          <w:footerReference w:type="default" r:id="rId9"/>
          <w:headerReference w:type="first" r:id="rId10"/>
          <w:pgSz w:w="12240" w:h="15840"/>
          <w:pgMar w:top="2880" w:right="1440" w:bottom="1440" w:left="1440" w:header="720" w:footer="720" w:gutter="0"/>
          <w:cols w:space="720"/>
          <w:titlePg/>
          <w:docGrid w:linePitch="360"/>
        </w:sectPr>
      </w:pPr>
      <w:r w:rsidRPr="00A22D89">
        <w:rPr>
          <w:color w:val="000000" w:themeColor="text1"/>
        </w:rPr>
        <w:t>202</w:t>
      </w:r>
      <w:r>
        <w:rPr>
          <w:color w:val="000000" w:themeColor="text1"/>
        </w:rPr>
        <w:t>1</w:t>
      </w:r>
    </w:p>
    <w:p w14:paraId="39230EF0" w14:textId="3871A7C5" w:rsidR="003E5B95" w:rsidRPr="00A22D89" w:rsidRDefault="003E5B95" w:rsidP="003E5B95">
      <w:pPr>
        <w:spacing w:line="240" w:lineRule="auto"/>
        <w:ind w:firstLine="0"/>
        <w:jc w:val="center"/>
        <w:rPr>
          <w:color w:val="000000" w:themeColor="text1"/>
        </w:rPr>
        <w:sectPr w:rsidR="003E5B95" w:rsidRPr="00A22D89" w:rsidSect="00723F38">
          <w:type w:val="continuous"/>
          <w:pgSz w:w="12240" w:h="15840"/>
          <w:pgMar w:top="2880" w:right="1440" w:bottom="1440" w:left="1440" w:header="720" w:footer="720" w:gutter="0"/>
          <w:cols w:space="720"/>
          <w:docGrid w:linePitch="360"/>
        </w:sectPr>
      </w:pPr>
    </w:p>
    <w:p w14:paraId="1100DA4B" w14:textId="77777777" w:rsidR="003E5B95" w:rsidRPr="00A22D89" w:rsidRDefault="003E5B95">
      <w:pPr>
        <w:spacing w:after="160" w:line="259" w:lineRule="auto"/>
        <w:ind w:firstLine="0"/>
        <w:contextualSpacing w:val="0"/>
        <w:rPr>
          <w:color w:val="000000" w:themeColor="text1"/>
        </w:rPr>
      </w:pPr>
    </w:p>
    <w:p w14:paraId="68C31F33" w14:textId="77777777" w:rsidR="003E5B95" w:rsidRPr="00A22D89" w:rsidRDefault="003E5B95">
      <w:pPr>
        <w:spacing w:after="160" w:line="259" w:lineRule="auto"/>
        <w:ind w:firstLine="0"/>
        <w:contextualSpacing w:val="0"/>
        <w:rPr>
          <w:color w:val="000000" w:themeColor="text1"/>
        </w:rPr>
      </w:pPr>
    </w:p>
    <w:p w14:paraId="2090CAF6" w14:textId="77777777" w:rsidR="003E5B95" w:rsidRPr="00A22D89" w:rsidRDefault="003E5B95">
      <w:pPr>
        <w:spacing w:after="160" w:line="259" w:lineRule="auto"/>
        <w:ind w:firstLine="0"/>
        <w:contextualSpacing w:val="0"/>
        <w:rPr>
          <w:color w:val="000000" w:themeColor="text1"/>
        </w:rPr>
      </w:pPr>
    </w:p>
    <w:p w14:paraId="6DC6F444" w14:textId="77777777" w:rsidR="003E5B95" w:rsidRPr="00A22D89" w:rsidRDefault="003E5B95">
      <w:pPr>
        <w:spacing w:after="160" w:line="259" w:lineRule="auto"/>
        <w:ind w:firstLine="0"/>
        <w:contextualSpacing w:val="0"/>
        <w:rPr>
          <w:color w:val="000000" w:themeColor="text1"/>
        </w:rPr>
      </w:pPr>
    </w:p>
    <w:p w14:paraId="0495B7B0" w14:textId="77777777" w:rsidR="003E5B95" w:rsidRPr="00A22D89" w:rsidRDefault="003E5B95">
      <w:pPr>
        <w:spacing w:after="160" w:line="259" w:lineRule="auto"/>
        <w:ind w:firstLine="0"/>
        <w:contextualSpacing w:val="0"/>
        <w:rPr>
          <w:color w:val="000000" w:themeColor="text1"/>
        </w:rPr>
      </w:pPr>
    </w:p>
    <w:p w14:paraId="7EB48C76" w14:textId="77777777" w:rsidR="003E5B95" w:rsidRPr="00A22D89" w:rsidRDefault="003E5B95">
      <w:pPr>
        <w:spacing w:after="160" w:line="259" w:lineRule="auto"/>
        <w:ind w:firstLine="0"/>
        <w:contextualSpacing w:val="0"/>
        <w:rPr>
          <w:color w:val="000000" w:themeColor="text1"/>
        </w:rPr>
      </w:pPr>
    </w:p>
    <w:p w14:paraId="6F7D8D8A" w14:textId="77777777" w:rsidR="003E5B95" w:rsidRPr="00A22D89" w:rsidRDefault="003E5B95">
      <w:pPr>
        <w:spacing w:after="160" w:line="259" w:lineRule="auto"/>
        <w:ind w:firstLine="0"/>
        <w:contextualSpacing w:val="0"/>
        <w:rPr>
          <w:color w:val="000000" w:themeColor="text1"/>
        </w:rPr>
      </w:pPr>
    </w:p>
    <w:p w14:paraId="3EABDEF2" w14:textId="77777777" w:rsidR="003E5B95" w:rsidRPr="00A22D89" w:rsidRDefault="003E5B95">
      <w:pPr>
        <w:spacing w:after="160" w:line="259" w:lineRule="auto"/>
        <w:ind w:firstLine="0"/>
        <w:contextualSpacing w:val="0"/>
        <w:rPr>
          <w:color w:val="000000" w:themeColor="text1"/>
        </w:rPr>
      </w:pPr>
    </w:p>
    <w:p w14:paraId="6294AE79" w14:textId="77777777" w:rsidR="003E5B95" w:rsidRPr="00A22D89" w:rsidRDefault="003E5B95">
      <w:pPr>
        <w:spacing w:after="160" w:line="259" w:lineRule="auto"/>
        <w:ind w:firstLine="0"/>
        <w:contextualSpacing w:val="0"/>
        <w:rPr>
          <w:color w:val="000000" w:themeColor="text1"/>
        </w:rPr>
      </w:pPr>
    </w:p>
    <w:p w14:paraId="7CF63983" w14:textId="77777777" w:rsidR="003E5B95" w:rsidRPr="00A22D89" w:rsidRDefault="003E5B95">
      <w:pPr>
        <w:spacing w:after="160" w:line="259" w:lineRule="auto"/>
        <w:ind w:firstLine="0"/>
        <w:contextualSpacing w:val="0"/>
        <w:rPr>
          <w:color w:val="000000" w:themeColor="text1"/>
        </w:rPr>
      </w:pPr>
    </w:p>
    <w:p w14:paraId="0D094377" w14:textId="77777777" w:rsidR="003E5B95" w:rsidRPr="00A22D89" w:rsidRDefault="003E5B95">
      <w:pPr>
        <w:spacing w:after="160" w:line="259" w:lineRule="auto"/>
        <w:ind w:firstLine="0"/>
        <w:contextualSpacing w:val="0"/>
        <w:rPr>
          <w:color w:val="000000" w:themeColor="text1"/>
        </w:rPr>
      </w:pPr>
    </w:p>
    <w:p w14:paraId="376DDCDC" w14:textId="77777777" w:rsidR="003E5B95" w:rsidRPr="00A22D89" w:rsidRDefault="003E5B95">
      <w:pPr>
        <w:spacing w:after="160" w:line="259" w:lineRule="auto"/>
        <w:ind w:firstLine="0"/>
        <w:contextualSpacing w:val="0"/>
        <w:rPr>
          <w:color w:val="000000" w:themeColor="text1"/>
        </w:rPr>
      </w:pPr>
    </w:p>
    <w:p w14:paraId="0CBEB958" w14:textId="77777777" w:rsidR="003E5B95" w:rsidRPr="00A22D89" w:rsidRDefault="003E5B95">
      <w:pPr>
        <w:spacing w:after="160" w:line="259" w:lineRule="auto"/>
        <w:ind w:firstLine="0"/>
        <w:contextualSpacing w:val="0"/>
        <w:rPr>
          <w:color w:val="000000" w:themeColor="text1"/>
        </w:rPr>
      </w:pPr>
    </w:p>
    <w:p w14:paraId="0BD91B25" w14:textId="77777777" w:rsidR="003E5B95" w:rsidRPr="00A22D89" w:rsidRDefault="003E5B95">
      <w:pPr>
        <w:spacing w:after="160" w:line="259" w:lineRule="auto"/>
        <w:ind w:firstLine="0"/>
        <w:contextualSpacing w:val="0"/>
        <w:rPr>
          <w:color w:val="000000" w:themeColor="text1"/>
        </w:rPr>
      </w:pPr>
    </w:p>
    <w:p w14:paraId="22F31A6F" w14:textId="77777777" w:rsidR="003E5B95" w:rsidRPr="00A22D89" w:rsidRDefault="003E5B95">
      <w:pPr>
        <w:spacing w:after="160" w:line="259" w:lineRule="auto"/>
        <w:ind w:firstLine="0"/>
        <w:contextualSpacing w:val="0"/>
        <w:rPr>
          <w:color w:val="000000" w:themeColor="text1"/>
        </w:rPr>
      </w:pPr>
    </w:p>
    <w:p w14:paraId="6349CC72" w14:textId="77777777" w:rsidR="003E5B95" w:rsidRPr="00A22D89" w:rsidRDefault="003E5B95">
      <w:pPr>
        <w:spacing w:after="160" w:line="259" w:lineRule="auto"/>
        <w:ind w:firstLine="0"/>
        <w:contextualSpacing w:val="0"/>
        <w:rPr>
          <w:color w:val="000000" w:themeColor="text1"/>
        </w:rPr>
      </w:pPr>
    </w:p>
    <w:p w14:paraId="21350D21" w14:textId="77777777" w:rsidR="003E5B95" w:rsidRPr="00A22D89" w:rsidRDefault="003E5B95">
      <w:pPr>
        <w:spacing w:after="160" w:line="259" w:lineRule="auto"/>
        <w:ind w:firstLine="0"/>
        <w:contextualSpacing w:val="0"/>
        <w:rPr>
          <w:color w:val="000000" w:themeColor="text1"/>
        </w:rPr>
      </w:pPr>
    </w:p>
    <w:p w14:paraId="0B456B0E" w14:textId="77777777" w:rsidR="003E5B95" w:rsidRPr="00A22D89" w:rsidRDefault="003E5B95">
      <w:pPr>
        <w:spacing w:after="160" w:line="259" w:lineRule="auto"/>
        <w:ind w:firstLine="0"/>
        <w:contextualSpacing w:val="0"/>
        <w:rPr>
          <w:color w:val="000000" w:themeColor="text1"/>
        </w:rPr>
      </w:pPr>
    </w:p>
    <w:p w14:paraId="0128B72E" w14:textId="77777777" w:rsidR="003E5B95" w:rsidRPr="00A22D89" w:rsidRDefault="003E5B95">
      <w:pPr>
        <w:spacing w:after="160" w:line="259" w:lineRule="auto"/>
        <w:ind w:firstLine="0"/>
        <w:contextualSpacing w:val="0"/>
        <w:rPr>
          <w:color w:val="000000" w:themeColor="text1"/>
        </w:rPr>
      </w:pPr>
    </w:p>
    <w:p w14:paraId="120810F1" w14:textId="77777777" w:rsidR="003E5B95" w:rsidRPr="00A22D89" w:rsidRDefault="003E5B95">
      <w:pPr>
        <w:spacing w:after="160" w:line="259" w:lineRule="auto"/>
        <w:ind w:firstLine="0"/>
        <w:contextualSpacing w:val="0"/>
        <w:rPr>
          <w:color w:val="000000" w:themeColor="text1"/>
        </w:rPr>
      </w:pPr>
    </w:p>
    <w:p w14:paraId="5A7EADFD" w14:textId="77777777" w:rsidR="003E5B95" w:rsidRPr="00A22D89" w:rsidRDefault="003E5B95">
      <w:pPr>
        <w:spacing w:after="160" w:line="259" w:lineRule="auto"/>
        <w:ind w:firstLine="0"/>
        <w:contextualSpacing w:val="0"/>
        <w:rPr>
          <w:color w:val="000000" w:themeColor="text1"/>
        </w:rPr>
      </w:pPr>
    </w:p>
    <w:p w14:paraId="48E5B058" w14:textId="77777777" w:rsidR="003E5B95" w:rsidRPr="00A22D89" w:rsidRDefault="003E5B95">
      <w:pPr>
        <w:spacing w:after="160" w:line="259" w:lineRule="auto"/>
        <w:ind w:firstLine="0"/>
        <w:contextualSpacing w:val="0"/>
        <w:rPr>
          <w:color w:val="000000" w:themeColor="text1"/>
        </w:rPr>
      </w:pPr>
    </w:p>
    <w:p w14:paraId="2EAAF1A4" w14:textId="77777777" w:rsidR="003E5B95" w:rsidRPr="00A22D89" w:rsidRDefault="003E5B95">
      <w:pPr>
        <w:spacing w:after="160" w:line="259" w:lineRule="auto"/>
        <w:ind w:firstLine="0"/>
        <w:contextualSpacing w:val="0"/>
        <w:rPr>
          <w:color w:val="000000" w:themeColor="text1"/>
        </w:rPr>
      </w:pPr>
    </w:p>
    <w:p w14:paraId="6F04F9F7" w14:textId="77777777" w:rsidR="003E5B95" w:rsidRPr="00A22D89" w:rsidRDefault="003E5B95" w:rsidP="003E5B95">
      <w:pPr>
        <w:spacing w:after="160" w:line="259" w:lineRule="auto"/>
        <w:ind w:firstLine="0"/>
        <w:contextualSpacing w:val="0"/>
        <w:jc w:val="center"/>
        <w:rPr>
          <w:color w:val="000000" w:themeColor="text1"/>
        </w:rPr>
      </w:pPr>
      <w:r w:rsidRPr="00A22D89">
        <w:rPr>
          <w:color w:val="000000" w:themeColor="text1"/>
        </w:rPr>
        <w:t>Copyright T</w:t>
      </w:r>
      <w:r>
        <w:rPr>
          <w:color w:val="000000" w:themeColor="text1"/>
        </w:rPr>
        <w:t>ripti Singh</w:t>
      </w:r>
      <w:r w:rsidRPr="00A22D89">
        <w:rPr>
          <w:color w:val="000000" w:themeColor="text1"/>
        </w:rPr>
        <w:t xml:space="preserve"> 202</w:t>
      </w:r>
      <w:r>
        <w:rPr>
          <w:color w:val="000000" w:themeColor="text1"/>
        </w:rPr>
        <w:t>1</w:t>
      </w:r>
    </w:p>
    <w:p w14:paraId="2CF66D52" w14:textId="77777777" w:rsidR="003E5B95" w:rsidRPr="00A22D89" w:rsidRDefault="003E5B95" w:rsidP="003E5B95">
      <w:pPr>
        <w:spacing w:after="160" w:line="259" w:lineRule="auto"/>
        <w:ind w:firstLine="0"/>
        <w:contextualSpacing w:val="0"/>
        <w:jc w:val="center"/>
        <w:rPr>
          <w:rFonts w:eastAsiaTheme="majorEastAsia" w:cstheme="majorBidi"/>
          <w:b/>
          <w:color w:val="000000" w:themeColor="text1"/>
          <w:szCs w:val="32"/>
        </w:rPr>
        <w:sectPr w:rsidR="003E5B95" w:rsidRPr="00A22D89" w:rsidSect="003E5B95">
          <w:pgSz w:w="12240" w:h="15840"/>
          <w:pgMar w:top="2880" w:right="1440" w:bottom="1440" w:left="1440" w:header="720" w:footer="720" w:gutter="0"/>
          <w:cols w:space="720"/>
          <w:titlePg/>
          <w:docGrid w:linePitch="360"/>
        </w:sectPr>
      </w:pPr>
      <w:r w:rsidRPr="00A22D89">
        <w:rPr>
          <w:color w:val="000000" w:themeColor="text1"/>
        </w:rPr>
        <w:t>ALL RIGHTS RESERVED</w:t>
      </w:r>
    </w:p>
    <w:p w14:paraId="04CCAE8C" w14:textId="77777777" w:rsidR="003E5B95" w:rsidRDefault="003E5B95" w:rsidP="003E5B95">
      <w:pPr>
        <w:pStyle w:val="Heading1"/>
        <w:jc w:val="left"/>
        <w:rPr>
          <w:color w:val="000000" w:themeColor="text1"/>
        </w:rPr>
      </w:pPr>
      <w:bookmarkStart w:id="0" w:name="_Toc40296581"/>
      <w:bookmarkStart w:id="1" w:name="_Toc40891199"/>
    </w:p>
    <w:p w14:paraId="3B50D679" w14:textId="77777777" w:rsidR="003E5B95" w:rsidRPr="00A53F4F" w:rsidRDefault="003E5B95" w:rsidP="003E5B95">
      <w:pPr>
        <w:pStyle w:val="Heading1"/>
      </w:pPr>
      <w:bookmarkStart w:id="2" w:name="_Toc74045201"/>
      <w:bookmarkStart w:id="3" w:name="_Toc74087485"/>
      <w:bookmarkStart w:id="4" w:name="_Toc74258602"/>
      <w:bookmarkStart w:id="5" w:name="_Hlk74040692"/>
      <w:bookmarkEnd w:id="0"/>
      <w:bookmarkEnd w:id="1"/>
      <w:r>
        <w:t>ABSTRACT</w:t>
      </w:r>
      <w:bookmarkEnd w:id="2"/>
      <w:bookmarkEnd w:id="3"/>
      <w:bookmarkEnd w:id="4"/>
    </w:p>
    <w:bookmarkEnd w:id="5"/>
    <w:p w14:paraId="2740C0D7" w14:textId="77777777" w:rsidR="003E5B95" w:rsidRPr="007954AA" w:rsidRDefault="003E5B95" w:rsidP="003E5B95">
      <w:pPr>
        <w:rPr>
          <w:rFonts w:cs="Times New Roman"/>
          <w:szCs w:val="24"/>
        </w:rPr>
      </w:pPr>
      <w:r w:rsidRPr="007954AA">
        <w:rPr>
          <w:rFonts w:cs="Times New Roman"/>
          <w:szCs w:val="24"/>
        </w:rPr>
        <w:t xml:space="preserve">The concept of stress has gained significant attention from researchers across several disciplines. Among this research, information systems (IS) scholars have contributed to our understanding of stress by detailing individual experiences of stress that occur from the use of technology, adherence to information security requirements, and other workplace circumstances such as work overload. Yet, even among this IS focused research, there are different conceptualizations and operationalizations of stress; how it is formed, how it is measured, and how individuals respond to it. This dissertation seeks to provide some needed clarity and insight to this stream of research and does so by focusing on one of the most stress-prone, but least understood segments of the information security (InfoSec) practice community, cybersecurity professionals. In this two-essay dissertation, we accomplish two broad goals. First, in essay one we synthesize the trends, gaps, and limitations of the research on stress as it applies to cybersecurity professionals and develop a set of opportunities for future research. Second, in essay two we describe and test a demand appraisal model for cybersecurity professionals to show how cybersecurity professionals experience and respond to stress stemming from the demands associated with </w:t>
      </w:r>
      <w:r w:rsidRPr="007954AA">
        <w:rPr>
          <w:iCs/>
          <w:color w:val="171717"/>
          <w:kern w:val="0"/>
          <w:szCs w:val="24"/>
          <w:shd w:val="clear" w:color="auto" w:fill="FFFFFF"/>
          <w:lang w:eastAsia="en-US"/>
        </w:rPr>
        <w:t>implementing and/or maintaining their organizations’ electronic monitoring and surveillance (EMS) technologies.</w:t>
      </w:r>
    </w:p>
    <w:p w14:paraId="7A32CC9F" w14:textId="77777777" w:rsidR="003E5B95" w:rsidRDefault="003E5B95" w:rsidP="003E5B95">
      <w:pPr>
        <w:ind w:firstLine="0"/>
        <w:rPr>
          <w:rFonts w:cs="Times New Roman"/>
          <w:bCs/>
          <w:i/>
          <w:szCs w:val="24"/>
        </w:rPr>
        <w:sectPr w:rsidR="003E5B95" w:rsidSect="00C24E98">
          <w:footerReference w:type="first" r:id="rId11"/>
          <w:pgSz w:w="12240" w:h="15840"/>
          <w:pgMar w:top="2880" w:right="1440" w:bottom="1440" w:left="1440" w:header="720" w:footer="720" w:gutter="0"/>
          <w:pgNumType w:fmt="lowerRoman" w:start="2"/>
          <w:cols w:space="720"/>
          <w:titlePg/>
          <w:docGrid w:linePitch="360"/>
        </w:sectPr>
      </w:pPr>
    </w:p>
    <w:p w14:paraId="09E0EBC6" w14:textId="77777777" w:rsidR="003E5B95" w:rsidRDefault="003E5B95" w:rsidP="003E5B95">
      <w:pPr>
        <w:pStyle w:val="Heading1"/>
      </w:pPr>
      <w:bookmarkStart w:id="6" w:name="_Toc74045202"/>
      <w:bookmarkStart w:id="7" w:name="_Toc74087486"/>
      <w:bookmarkStart w:id="8" w:name="_Toc74258603"/>
      <w:bookmarkStart w:id="9" w:name="_Toc40296582"/>
      <w:bookmarkStart w:id="10" w:name="_Toc40891200"/>
      <w:bookmarkStart w:id="11" w:name="_Toc73602036"/>
      <w:bookmarkStart w:id="12" w:name="_Hlk73954251"/>
      <w:r>
        <w:lastRenderedPageBreak/>
        <w:t>DEDICATION</w:t>
      </w:r>
      <w:bookmarkEnd w:id="6"/>
      <w:bookmarkEnd w:id="7"/>
      <w:bookmarkEnd w:id="8"/>
    </w:p>
    <w:p w14:paraId="14C1AFB9" w14:textId="3EB410D0" w:rsidR="003E5B95" w:rsidRPr="007B12F9" w:rsidRDefault="003E5B95" w:rsidP="00D22235">
      <w:pPr>
        <w:ind w:firstLine="720"/>
        <w:sectPr w:rsidR="003E5B95" w:rsidRPr="007B12F9" w:rsidSect="003E5B95">
          <w:pgSz w:w="12240" w:h="15840"/>
          <w:pgMar w:top="2880" w:right="1440" w:bottom="1440" w:left="1440" w:header="720" w:footer="720" w:gutter="0"/>
          <w:pgNumType w:fmt="lowerRoman"/>
          <w:cols w:space="720"/>
          <w:titlePg/>
          <w:docGrid w:linePitch="360"/>
        </w:sectPr>
      </w:pPr>
      <w:r w:rsidRPr="00A22D89">
        <w:rPr>
          <w:color w:val="000000" w:themeColor="text1"/>
        </w:rPr>
        <w:t xml:space="preserve">I dedicate this dissertation to </w:t>
      </w:r>
      <w:r>
        <w:rPr>
          <w:color w:val="000000" w:themeColor="text1"/>
        </w:rPr>
        <w:t>my parents and to my uncle Dr. Santosh K</w:t>
      </w:r>
      <w:r w:rsidRPr="00A22D89">
        <w:rPr>
          <w:color w:val="000000" w:themeColor="text1"/>
        </w:rPr>
        <w:t>.</w:t>
      </w:r>
      <w:r>
        <w:rPr>
          <w:color w:val="000000" w:themeColor="text1"/>
        </w:rPr>
        <w:t xml:space="preserve"> </w:t>
      </w:r>
      <w:proofErr w:type="spellStart"/>
      <w:r>
        <w:rPr>
          <w:color w:val="000000" w:themeColor="text1"/>
        </w:rPr>
        <w:t>Katiyar</w:t>
      </w:r>
      <w:proofErr w:type="spellEnd"/>
      <w:r w:rsidR="00EF294C">
        <w:rPr>
          <w:color w:val="000000" w:themeColor="text1"/>
        </w:rPr>
        <w:t xml:space="preserve">, </w:t>
      </w:r>
      <w:r>
        <w:rPr>
          <w:color w:val="000000" w:themeColor="text1"/>
        </w:rPr>
        <w:t xml:space="preserve">who always believed in me. </w:t>
      </w:r>
      <w:r w:rsidRPr="00A22D89">
        <w:rPr>
          <w:color w:val="000000" w:themeColor="text1"/>
        </w:rPr>
        <w:t>Thank you for your encouragement</w:t>
      </w:r>
      <w:r>
        <w:rPr>
          <w:color w:val="000000" w:themeColor="text1"/>
        </w:rPr>
        <w:t xml:space="preserve"> and support</w:t>
      </w:r>
      <w:r>
        <w:t>.</w:t>
      </w:r>
    </w:p>
    <w:p w14:paraId="657F06CD" w14:textId="77777777" w:rsidR="003E5B95" w:rsidRPr="00A53F4F" w:rsidRDefault="003E5B95" w:rsidP="003E5B95">
      <w:pPr>
        <w:pStyle w:val="Heading1"/>
      </w:pPr>
      <w:bookmarkStart w:id="13" w:name="_Toc74045203"/>
      <w:bookmarkStart w:id="14" w:name="_Toc74087487"/>
      <w:bookmarkStart w:id="15" w:name="_Toc74258604"/>
      <w:bookmarkEnd w:id="9"/>
      <w:bookmarkEnd w:id="10"/>
      <w:bookmarkEnd w:id="11"/>
      <w:bookmarkEnd w:id="12"/>
      <w:r>
        <w:lastRenderedPageBreak/>
        <w:t>LIST OF ABBREVIATIONS AND SYMBOLS</w:t>
      </w:r>
      <w:bookmarkEnd w:id="13"/>
      <w:bookmarkEnd w:id="14"/>
      <w:bookmarkEnd w:id="1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8" w:type="dxa"/>
          <w:bottom w:w="288" w:type="dxa"/>
          <w:right w:w="115" w:type="dxa"/>
        </w:tblCellMar>
        <w:tblLook w:val="04A0" w:firstRow="1" w:lastRow="0" w:firstColumn="1" w:lastColumn="0" w:noHBand="0" w:noVBand="1"/>
      </w:tblPr>
      <w:tblGrid>
        <w:gridCol w:w="1800"/>
        <w:gridCol w:w="7550"/>
      </w:tblGrid>
      <w:tr w:rsidR="003E5B95" w14:paraId="33F7B548" w14:textId="77777777" w:rsidTr="003E5B95">
        <w:tc>
          <w:tcPr>
            <w:tcW w:w="1800" w:type="dxa"/>
          </w:tcPr>
          <w:p w14:paraId="5534C1F6" w14:textId="77777777" w:rsidR="003E5B95" w:rsidRDefault="003E5B95" w:rsidP="003E5B95">
            <w:pPr>
              <w:spacing w:after="240" w:line="240" w:lineRule="auto"/>
              <w:ind w:firstLine="0"/>
              <w:rPr>
                <w:color w:val="000000" w:themeColor="text1"/>
              </w:rPr>
            </w:pPr>
            <w:r>
              <w:rPr>
                <w:color w:val="000000" w:themeColor="text1"/>
              </w:rPr>
              <w:t>χ</w:t>
            </w:r>
            <w:r>
              <w:rPr>
                <w:color w:val="000000"/>
                <w:vertAlign w:val="superscript"/>
              </w:rPr>
              <w:t>2</w:t>
            </w:r>
          </w:p>
        </w:tc>
        <w:tc>
          <w:tcPr>
            <w:tcW w:w="7550" w:type="dxa"/>
          </w:tcPr>
          <w:p w14:paraId="6401CBE3" w14:textId="77777777" w:rsidR="003E5B95" w:rsidRDefault="003E5B95" w:rsidP="003E5B95">
            <w:pPr>
              <w:spacing w:after="240" w:line="240" w:lineRule="auto"/>
              <w:ind w:firstLine="0"/>
              <w:rPr>
                <w:color w:val="000000" w:themeColor="text1"/>
              </w:rPr>
            </w:pPr>
            <w:r>
              <w:rPr>
                <w:color w:val="000000" w:themeColor="text1"/>
              </w:rPr>
              <w:t xml:space="preserve">Chi-squared </w:t>
            </w:r>
            <w:proofErr w:type="gramStart"/>
            <w:r>
              <w:rPr>
                <w:color w:val="000000" w:themeColor="text1"/>
              </w:rPr>
              <w:t>statistic:</w:t>
            </w:r>
            <w:proofErr w:type="gramEnd"/>
            <w:r>
              <w:rPr>
                <w:color w:val="000000" w:themeColor="text1"/>
              </w:rPr>
              <w:t xml:space="preserve"> assesses overall fit and the discrepancy between the sample and fitted covariance matrices</w:t>
            </w:r>
          </w:p>
        </w:tc>
      </w:tr>
      <w:tr w:rsidR="003E5B95" w14:paraId="3B967F02" w14:textId="77777777" w:rsidTr="003E5B95">
        <w:tc>
          <w:tcPr>
            <w:tcW w:w="1800" w:type="dxa"/>
          </w:tcPr>
          <w:p w14:paraId="40F261A0" w14:textId="77777777" w:rsidR="003E5B95" w:rsidRDefault="003E5B95" w:rsidP="003E5B95">
            <w:pPr>
              <w:spacing w:after="240" w:line="240" w:lineRule="auto"/>
              <w:ind w:firstLine="0"/>
              <w:rPr>
                <w:color w:val="000000" w:themeColor="text1"/>
              </w:rPr>
            </w:pPr>
            <w:r>
              <w:rPr>
                <w:color w:val="000000" w:themeColor="text1"/>
              </w:rPr>
              <w:t>&gt;</w:t>
            </w:r>
          </w:p>
        </w:tc>
        <w:tc>
          <w:tcPr>
            <w:tcW w:w="7550" w:type="dxa"/>
          </w:tcPr>
          <w:p w14:paraId="2D980221" w14:textId="77777777" w:rsidR="003E5B95" w:rsidRDefault="003E5B95" w:rsidP="003E5B95">
            <w:pPr>
              <w:spacing w:after="240" w:line="240" w:lineRule="auto"/>
              <w:ind w:firstLine="0"/>
              <w:rPr>
                <w:color w:val="000000" w:themeColor="text1"/>
              </w:rPr>
            </w:pPr>
            <w:r>
              <w:rPr>
                <w:color w:val="000000" w:themeColor="text1"/>
              </w:rPr>
              <w:t>Greater than</w:t>
            </w:r>
          </w:p>
        </w:tc>
      </w:tr>
      <w:tr w:rsidR="003E5B95" w14:paraId="2A46F64A" w14:textId="77777777" w:rsidTr="003E5B95">
        <w:tc>
          <w:tcPr>
            <w:tcW w:w="1800" w:type="dxa"/>
          </w:tcPr>
          <w:p w14:paraId="17935375" w14:textId="77777777" w:rsidR="003E5B95" w:rsidRDefault="003E5B95" w:rsidP="003E5B95">
            <w:pPr>
              <w:spacing w:after="240" w:line="240" w:lineRule="auto"/>
              <w:ind w:firstLine="0"/>
              <w:rPr>
                <w:color w:val="000000" w:themeColor="text1"/>
              </w:rPr>
            </w:pPr>
            <w:r>
              <w:rPr>
                <w:color w:val="000000" w:themeColor="text1"/>
              </w:rPr>
              <w:t>&lt;</w:t>
            </w:r>
          </w:p>
        </w:tc>
        <w:tc>
          <w:tcPr>
            <w:tcW w:w="7550" w:type="dxa"/>
          </w:tcPr>
          <w:p w14:paraId="09F58048" w14:textId="77777777" w:rsidR="003E5B95" w:rsidRDefault="003E5B95" w:rsidP="003E5B95">
            <w:pPr>
              <w:spacing w:after="240" w:line="240" w:lineRule="auto"/>
              <w:ind w:firstLine="0"/>
              <w:rPr>
                <w:color w:val="000000" w:themeColor="text1"/>
              </w:rPr>
            </w:pPr>
            <w:r>
              <w:rPr>
                <w:color w:val="000000" w:themeColor="text1"/>
              </w:rPr>
              <w:t>Less than</w:t>
            </w:r>
          </w:p>
        </w:tc>
      </w:tr>
      <w:tr w:rsidR="003E5B95" w14:paraId="01060BF9" w14:textId="77777777" w:rsidTr="003E5B95">
        <w:tc>
          <w:tcPr>
            <w:tcW w:w="1800" w:type="dxa"/>
          </w:tcPr>
          <w:p w14:paraId="7F634E32" w14:textId="77777777" w:rsidR="003E5B95" w:rsidRDefault="003E5B95" w:rsidP="003E5B95">
            <w:pPr>
              <w:spacing w:after="240" w:line="240" w:lineRule="auto"/>
              <w:ind w:firstLine="0"/>
              <w:rPr>
                <w:color w:val="000000" w:themeColor="text1"/>
              </w:rPr>
            </w:pPr>
            <w:r>
              <w:rPr>
                <w:color w:val="000000" w:themeColor="text1"/>
              </w:rPr>
              <w:t>=</w:t>
            </w:r>
          </w:p>
        </w:tc>
        <w:tc>
          <w:tcPr>
            <w:tcW w:w="7550" w:type="dxa"/>
          </w:tcPr>
          <w:p w14:paraId="1FBBC1C9" w14:textId="77777777" w:rsidR="003E5B95" w:rsidRDefault="003E5B95" w:rsidP="003E5B95">
            <w:pPr>
              <w:spacing w:after="240" w:line="240" w:lineRule="auto"/>
              <w:ind w:firstLine="0"/>
              <w:rPr>
                <w:color w:val="000000" w:themeColor="text1"/>
              </w:rPr>
            </w:pPr>
            <w:r>
              <w:rPr>
                <w:color w:val="000000" w:themeColor="text1"/>
              </w:rPr>
              <w:t>Equal to</w:t>
            </w:r>
          </w:p>
        </w:tc>
      </w:tr>
      <w:tr w:rsidR="003E5B95" w14:paraId="3D5A3999" w14:textId="77777777" w:rsidTr="003E5B95">
        <w:tc>
          <w:tcPr>
            <w:tcW w:w="1800" w:type="dxa"/>
          </w:tcPr>
          <w:p w14:paraId="6005FBAA" w14:textId="77777777" w:rsidR="003E5B95" w:rsidRDefault="003E5B95" w:rsidP="003E5B95">
            <w:pPr>
              <w:spacing w:after="240" w:line="240" w:lineRule="auto"/>
              <w:ind w:firstLine="0"/>
              <w:rPr>
                <w:color w:val="000000" w:themeColor="text1"/>
              </w:rPr>
            </w:pPr>
            <w:r>
              <w:rPr>
                <w:color w:val="000000" w:themeColor="text1"/>
              </w:rPr>
              <w:t>ɑ</w:t>
            </w:r>
          </w:p>
        </w:tc>
        <w:tc>
          <w:tcPr>
            <w:tcW w:w="7550" w:type="dxa"/>
          </w:tcPr>
          <w:p w14:paraId="6094890A" w14:textId="66151C90" w:rsidR="003E5B95" w:rsidRDefault="003E5B95" w:rsidP="003E5B95">
            <w:pPr>
              <w:spacing w:after="240" w:line="240" w:lineRule="auto"/>
              <w:ind w:firstLine="0"/>
              <w:rPr>
                <w:color w:val="000000" w:themeColor="text1"/>
              </w:rPr>
            </w:pPr>
            <w:r>
              <w:rPr>
                <w:color w:val="000000" w:themeColor="text1"/>
              </w:rPr>
              <w:t xml:space="preserve">Depending on </w:t>
            </w:r>
            <w:r w:rsidR="00EF294C">
              <w:rPr>
                <w:color w:val="000000" w:themeColor="text1"/>
              </w:rPr>
              <w:t xml:space="preserve">the </w:t>
            </w:r>
            <w:r>
              <w:rPr>
                <w:color w:val="000000" w:themeColor="text1"/>
              </w:rPr>
              <w:t>context, either level of significance at which the null hypothesis would be rejected or Cronbach’s index of internal consistency</w:t>
            </w:r>
          </w:p>
        </w:tc>
      </w:tr>
      <w:tr w:rsidR="003E5B95" w14:paraId="6462C55D" w14:textId="77777777" w:rsidTr="003E5B95">
        <w:tc>
          <w:tcPr>
            <w:tcW w:w="1800" w:type="dxa"/>
          </w:tcPr>
          <w:p w14:paraId="49606AD0" w14:textId="77777777" w:rsidR="003E5B95" w:rsidRDefault="003E5B95" w:rsidP="003E5B95">
            <w:pPr>
              <w:spacing w:after="240" w:line="240" w:lineRule="auto"/>
              <w:ind w:firstLine="0"/>
              <w:rPr>
                <w:color w:val="000000" w:themeColor="text1"/>
              </w:rPr>
            </w:pPr>
            <w:r>
              <w:rPr>
                <w:color w:val="000000" w:themeColor="text1"/>
              </w:rPr>
              <w:t>AIS</w:t>
            </w:r>
          </w:p>
        </w:tc>
        <w:tc>
          <w:tcPr>
            <w:tcW w:w="7550" w:type="dxa"/>
          </w:tcPr>
          <w:p w14:paraId="12EE8B4D" w14:textId="77777777" w:rsidR="003E5B95" w:rsidRDefault="003E5B95" w:rsidP="003E5B95">
            <w:pPr>
              <w:spacing w:after="240" w:line="240" w:lineRule="auto"/>
              <w:ind w:firstLine="0"/>
              <w:rPr>
                <w:color w:val="000000" w:themeColor="text1"/>
              </w:rPr>
            </w:pPr>
            <w:r>
              <w:rPr>
                <w:color w:val="000000" w:themeColor="text1"/>
              </w:rPr>
              <w:t>Association for Information Systems</w:t>
            </w:r>
          </w:p>
        </w:tc>
      </w:tr>
      <w:tr w:rsidR="003E5B95" w14:paraId="2E9709FA" w14:textId="77777777" w:rsidTr="003E5B95">
        <w:tc>
          <w:tcPr>
            <w:tcW w:w="1800" w:type="dxa"/>
          </w:tcPr>
          <w:p w14:paraId="3C3A6A0F" w14:textId="77777777" w:rsidR="003E5B95" w:rsidRDefault="003E5B95" w:rsidP="003E5B95">
            <w:pPr>
              <w:spacing w:after="240" w:line="240" w:lineRule="auto"/>
              <w:ind w:firstLine="0"/>
              <w:rPr>
                <w:color w:val="000000" w:themeColor="text1"/>
              </w:rPr>
            </w:pPr>
            <w:r>
              <w:rPr>
                <w:color w:val="000000" w:themeColor="text1"/>
              </w:rPr>
              <w:t>AVE</w:t>
            </w:r>
          </w:p>
        </w:tc>
        <w:tc>
          <w:tcPr>
            <w:tcW w:w="7550" w:type="dxa"/>
          </w:tcPr>
          <w:p w14:paraId="2803A328" w14:textId="77777777" w:rsidR="003E5B95" w:rsidRDefault="003E5B95" w:rsidP="003E5B95">
            <w:pPr>
              <w:spacing w:after="240" w:line="240" w:lineRule="auto"/>
              <w:ind w:firstLine="0"/>
              <w:rPr>
                <w:color w:val="000000" w:themeColor="text1"/>
              </w:rPr>
            </w:pPr>
            <w:r>
              <w:rPr>
                <w:color w:val="000000" w:themeColor="text1"/>
              </w:rPr>
              <w:t>Average variance extracted: the amount of variance captured by a construct in relation to the amount of variance due to measurement error</w:t>
            </w:r>
          </w:p>
        </w:tc>
      </w:tr>
      <w:tr w:rsidR="003E5B95" w14:paraId="74F931EE" w14:textId="77777777" w:rsidTr="003E5B95">
        <w:tc>
          <w:tcPr>
            <w:tcW w:w="1800" w:type="dxa"/>
          </w:tcPr>
          <w:p w14:paraId="73668A7E" w14:textId="77777777" w:rsidR="003E5B95" w:rsidRDefault="003E5B95" w:rsidP="003E5B95">
            <w:pPr>
              <w:spacing w:after="240" w:line="240" w:lineRule="auto"/>
              <w:ind w:firstLine="0"/>
              <w:rPr>
                <w:color w:val="000000" w:themeColor="text1"/>
              </w:rPr>
            </w:pPr>
            <w:r>
              <w:rPr>
                <w:color w:val="000000" w:themeColor="text1"/>
              </w:rPr>
              <w:t>BFI-2-S</w:t>
            </w:r>
          </w:p>
        </w:tc>
        <w:tc>
          <w:tcPr>
            <w:tcW w:w="7550" w:type="dxa"/>
          </w:tcPr>
          <w:p w14:paraId="3FDBF956" w14:textId="77777777" w:rsidR="003E5B95" w:rsidRDefault="003E5B95" w:rsidP="003E5B95">
            <w:pPr>
              <w:spacing w:after="240" w:line="240" w:lineRule="auto"/>
              <w:ind w:firstLine="0"/>
              <w:rPr>
                <w:color w:val="000000" w:themeColor="text1"/>
              </w:rPr>
            </w:pPr>
            <w:r>
              <w:rPr>
                <w:color w:val="000000" w:themeColor="text1"/>
              </w:rPr>
              <w:t>The Big Five Inventory</w:t>
            </w:r>
            <w:r>
              <w:rPr>
                <w:rFonts w:cs="Times New Roman"/>
                <w:color w:val="000000" w:themeColor="text1"/>
              </w:rPr>
              <w:t>‒</w:t>
            </w:r>
            <w:r>
              <w:rPr>
                <w:color w:val="000000" w:themeColor="text1"/>
              </w:rPr>
              <w:t>Short Form</w:t>
            </w:r>
          </w:p>
        </w:tc>
      </w:tr>
      <w:tr w:rsidR="003E5B95" w14:paraId="0AE1FD9C" w14:textId="77777777" w:rsidTr="003E5B95">
        <w:tc>
          <w:tcPr>
            <w:tcW w:w="1800" w:type="dxa"/>
          </w:tcPr>
          <w:p w14:paraId="16FD6190" w14:textId="77777777" w:rsidR="003E5B95" w:rsidRDefault="003E5B95" w:rsidP="003E5B95">
            <w:pPr>
              <w:spacing w:after="240" w:line="240" w:lineRule="auto"/>
              <w:ind w:firstLine="0"/>
              <w:rPr>
                <w:color w:val="000000" w:themeColor="text1"/>
              </w:rPr>
            </w:pPr>
            <w:r>
              <w:rPr>
                <w:color w:val="000000" w:themeColor="text1"/>
              </w:rPr>
              <w:t>CFA</w:t>
            </w:r>
          </w:p>
        </w:tc>
        <w:tc>
          <w:tcPr>
            <w:tcW w:w="7550" w:type="dxa"/>
          </w:tcPr>
          <w:p w14:paraId="11948C95" w14:textId="77777777" w:rsidR="003E5B95" w:rsidRDefault="003E5B95" w:rsidP="003E5B95">
            <w:pPr>
              <w:spacing w:after="240" w:line="240" w:lineRule="auto"/>
              <w:ind w:firstLine="0"/>
              <w:rPr>
                <w:color w:val="000000" w:themeColor="text1"/>
              </w:rPr>
            </w:pPr>
            <w:r>
              <w:rPr>
                <w:color w:val="000000" w:themeColor="text1"/>
              </w:rPr>
              <w:t>Confirmatory factor analysis: a test of whether measures of a construct are consistent with a researcher’s understanding of the nature of that construct</w:t>
            </w:r>
          </w:p>
        </w:tc>
      </w:tr>
      <w:tr w:rsidR="003E5B95" w14:paraId="5B997BFC" w14:textId="77777777" w:rsidTr="003E5B95">
        <w:tc>
          <w:tcPr>
            <w:tcW w:w="1800" w:type="dxa"/>
          </w:tcPr>
          <w:p w14:paraId="1ACAF61B" w14:textId="77777777" w:rsidR="003E5B95" w:rsidRDefault="003E5B95" w:rsidP="003E5B95">
            <w:pPr>
              <w:spacing w:after="240" w:line="240" w:lineRule="auto"/>
              <w:ind w:firstLine="0"/>
              <w:rPr>
                <w:color w:val="000000" w:themeColor="text1"/>
              </w:rPr>
            </w:pPr>
            <w:r>
              <w:rPr>
                <w:color w:val="000000" w:themeColor="text1"/>
              </w:rPr>
              <w:t>CFI</w:t>
            </w:r>
          </w:p>
        </w:tc>
        <w:tc>
          <w:tcPr>
            <w:tcW w:w="7550" w:type="dxa"/>
          </w:tcPr>
          <w:p w14:paraId="775038A1" w14:textId="49A55F66" w:rsidR="003E5B95" w:rsidRDefault="003E5B95" w:rsidP="003E5B95">
            <w:pPr>
              <w:spacing w:after="240" w:line="240" w:lineRule="auto"/>
              <w:ind w:firstLine="0"/>
              <w:rPr>
                <w:color w:val="000000" w:themeColor="text1"/>
              </w:rPr>
            </w:pPr>
            <w:r>
              <w:rPr>
                <w:color w:val="000000" w:themeColor="text1"/>
              </w:rPr>
              <w:t xml:space="preserve">Comparative fit </w:t>
            </w:r>
            <w:proofErr w:type="gramStart"/>
            <w:r>
              <w:rPr>
                <w:color w:val="000000" w:themeColor="text1"/>
              </w:rPr>
              <w:t>index:</w:t>
            </w:r>
            <w:proofErr w:type="gramEnd"/>
            <w:r>
              <w:rPr>
                <w:color w:val="000000" w:themeColor="text1"/>
              </w:rPr>
              <w:t xml:space="preserve"> compares fit of a target model to the fit of an independent</w:t>
            </w:r>
            <w:r w:rsidR="00EF294C">
              <w:rPr>
                <w:color w:val="000000" w:themeColor="text1"/>
              </w:rPr>
              <w:t xml:space="preserve"> </w:t>
            </w:r>
            <w:r>
              <w:rPr>
                <w:color w:val="000000" w:themeColor="text1"/>
              </w:rPr>
              <w:t>or null</w:t>
            </w:r>
            <w:r w:rsidR="00EF294C">
              <w:rPr>
                <w:color w:val="000000" w:themeColor="text1"/>
              </w:rPr>
              <w:t xml:space="preserve"> </w:t>
            </w:r>
            <w:r>
              <w:rPr>
                <w:color w:val="000000" w:themeColor="text1"/>
              </w:rPr>
              <w:t>model</w:t>
            </w:r>
          </w:p>
        </w:tc>
      </w:tr>
      <w:tr w:rsidR="003E5B95" w14:paraId="4BBE11DF" w14:textId="77777777" w:rsidTr="003E5B95">
        <w:tc>
          <w:tcPr>
            <w:tcW w:w="1800" w:type="dxa"/>
          </w:tcPr>
          <w:p w14:paraId="2A366A5C" w14:textId="77777777" w:rsidR="003E5B95" w:rsidRDefault="003E5B95" w:rsidP="003E5B95">
            <w:pPr>
              <w:spacing w:after="240" w:line="240" w:lineRule="auto"/>
              <w:ind w:firstLine="0"/>
              <w:rPr>
                <w:color w:val="000000" w:themeColor="text1"/>
              </w:rPr>
            </w:pPr>
            <w:r>
              <w:rPr>
                <w:color w:val="000000" w:themeColor="text1"/>
              </w:rPr>
              <w:t>CR</w:t>
            </w:r>
          </w:p>
        </w:tc>
        <w:tc>
          <w:tcPr>
            <w:tcW w:w="7550" w:type="dxa"/>
          </w:tcPr>
          <w:p w14:paraId="049B0FE9" w14:textId="77777777" w:rsidR="003E5B95" w:rsidRDefault="003E5B95" w:rsidP="003E5B95">
            <w:pPr>
              <w:spacing w:after="240" w:line="240" w:lineRule="auto"/>
              <w:ind w:firstLine="0"/>
              <w:rPr>
                <w:color w:val="000000" w:themeColor="text1"/>
              </w:rPr>
            </w:pPr>
            <w:r>
              <w:rPr>
                <w:color w:val="000000" w:themeColor="text1"/>
              </w:rPr>
              <w:t>Composite reliability (also construct reliability): a measure of internal consistency in scale items</w:t>
            </w:r>
          </w:p>
        </w:tc>
      </w:tr>
      <w:tr w:rsidR="003E5B95" w14:paraId="7FCBEB3B" w14:textId="77777777" w:rsidTr="003E5B95">
        <w:tc>
          <w:tcPr>
            <w:tcW w:w="1800" w:type="dxa"/>
          </w:tcPr>
          <w:p w14:paraId="55C062A4" w14:textId="77777777" w:rsidR="003E5B95" w:rsidRDefault="003E5B95" w:rsidP="003E5B95">
            <w:pPr>
              <w:spacing w:after="240" w:line="240" w:lineRule="auto"/>
              <w:ind w:firstLine="0"/>
              <w:rPr>
                <w:color w:val="000000" w:themeColor="text1"/>
              </w:rPr>
            </w:pPr>
            <w:r>
              <w:rPr>
                <w:color w:val="000000" w:themeColor="text1"/>
              </w:rPr>
              <w:t>df</w:t>
            </w:r>
          </w:p>
        </w:tc>
        <w:tc>
          <w:tcPr>
            <w:tcW w:w="7550" w:type="dxa"/>
          </w:tcPr>
          <w:p w14:paraId="5095041F" w14:textId="77777777" w:rsidR="003E5B95" w:rsidRDefault="003E5B95" w:rsidP="003E5B95">
            <w:pPr>
              <w:spacing w:after="240" w:line="240" w:lineRule="auto"/>
              <w:ind w:firstLine="0"/>
              <w:rPr>
                <w:color w:val="000000" w:themeColor="text1"/>
              </w:rPr>
            </w:pPr>
            <w:r>
              <w:rPr>
                <w:color w:val="000000" w:themeColor="text1"/>
              </w:rPr>
              <w:t>Degrees of freedom: number of values free to vary after certain restrictions have been placed on the data</w:t>
            </w:r>
          </w:p>
        </w:tc>
      </w:tr>
      <w:tr w:rsidR="003E5B95" w14:paraId="673945B0" w14:textId="77777777" w:rsidTr="003E5B95">
        <w:tc>
          <w:tcPr>
            <w:tcW w:w="1800" w:type="dxa"/>
          </w:tcPr>
          <w:p w14:paraId="4D0C2BB2" w14:textId="77777777" w:rsidR="003E5B95" w:rsidRDefault="003E5B95" w:rsidP="003E5B95">
            <w:pPr>
              <w:spacing w:after="240" w:line="240" w:lineRule="auto"/>
              <w:ind w:firstLine="0"/>
              <w:rPr>
                <w:color w:val="000000" w:themeColor="text1"/>
              </w:rPr>
            </w:pPr>
            <w:r>
              <w:rPr>
                <w:color w:val="000000" w:themeColor="text1"/>
              </w:rPr>
              <w:t>EFA</w:t>
            </w:r>
          </w:p>
        </w:tc>
        <w:tc>
          <w:tcPr>
            <w:tcW w:w="7550" w:type="dxa"/>
          </w:tcPr>
          <w:p w14:paraId="66F52FD7" w14:textId="77777777" w:rsidR="003E5B95" w:rsidRDefault="003E5B95" w:rsidP="003E5B95">
            <w:pPr>
              <w:spacing w:after="240" w:line="240" w:lineRule="auto"/>
              <w:ind w:firstLine="0"/>
              <w:rPr>
                <w:color w:val="000000" w:themeColor="text1"/>
              </w:rPr>
            </w:pPr>
            <w:r>
              <w:rPr>
                <w:color w:val="000000" w:themeColor="text1"/>
              </w:rPr>
              <w:t>Exploratory factor analysis: a statistical method to uncover the underlying structure of a relatively large set of variables</w:t>
            </w:r>
          </w:p>
        </w:tc>
      </w:tr>
      <w:tr w:rsidR="003E5B95" w14:paraId="6BE2ECEF" w14:textId="77777777" w:rsidTr="003E5B95">
        <w:tc>
          <w:tcPr>
            <w:tcW w:w="1800" w:type="dxa"/>
          </w:tcPr>
          <w:p w14:paraId="1B335113" w14:textId="77777777" w:rsidR="003E5B95" w:rsidRDefault="003E5B95" w:rsidP="003E5B95">
            <w:pPr>
              <w:spacing w:after="240" w:line="240" w:lineRule="auto"/>
              <w:ind w:firstLine="0"/>
              <w:rPr>
                <w:color w:val="000000" w:themeColor="text1"/>
              </w:rPr>
            </w:pPr>
            <w:r>
              <w:rPr>
                <w:color w:val="000000" w:themeColor="text1"/>
              </w:rPr>
              <w:t>EMS</w:t>
            </w:r>
          </w:p>
        </w:tc>
        <w:tc>
          <w:tcPr>
            <w:tcW w:w="7550" w:type="dxa"/>
          </w:tcPr>
          <w:p w14:paraId="1AB9FB1B" w14:textId="77777777" w:rsidR="003E5B95" w:rsidRDefault="003E5B95" w:rsidP="003E5B95">
            <w:pPr>
              <w:spacing w:after="240" w:line="240" w:lineRule="auto"/>
              <w:ind w:firstLine="0"/>
              <w:rPr>
                <w:color w:val="000000" w:themeColor="text1"/>
              </w:rPr>
            </w:pPr>
            <w:r>
              <w:rPr>
                <w:color w:val="000000" w:themeColor="text1"/>
              </w:rPr>
              <w:t xml:space="preserve">Employee Monitoring and Surveillance </w:t>
            </w:r>
          </w:p>
        </w:tc>
      </w:tr>
      <w:tr w:rsidR="003E5B95" w14:paraId="52924773" w14:textId="77777777" w:rsidTr="003E5B95">
        <w:tc>
          <w:tcPr>
            <w:tcW w:w="1800" w:type="dxa"/>
          </w:tcPr>
          <w:p w14:paraId="7BA87A84" w14:textId="77777777" w:rsidR="003E5B95" w:rsidRDefault="003E5B95" w:rsidP="003E5B95">
            <w:pPr>
              <w:spacing w:after="240" w:line="240" w:lineRule="auto"/>
              <w:ind w:firstLine="0"/>
              <w:rPr>
                <w:color w:val="000000" w:themeColor="text1"/>
              </w:rPr>
            </w:pPr>
            <w:r>
              <w:rPr>
                <w:color w:val="000000" w:themeColor="text1"/>
              </w:rPr>
              <w:t>EFC</w:t>
            </w:r>
          </w:p>
        </w:tc>
        <w:tc>
          <w:tcPr>
            <w:tcW w:w="7550" w:type="dxa"/>
          </w:tcPr>
          <w:p w14:paraId="09711729" w14:textId="77777777" w:rsidR="003E5B95" w:rsidRDefault="003E5B95" w:rsidP="003E5B95">
            <w:pPr>
              <w:spacing w:after="240" w:line="240" w:lineRule="auto"/>
              <w:ind w:firstLine="0"/>
              <w:rPr>
                <w:color w:val="000000" w:themeColor="text1"/>
              </w:rPr>
            </w:pPr>
            <w:r>
              <w:rPr>
                <w:color w:val="000000" w:themeColor="text1"/>
              </w:rPr>
              <w:t>Emotion-Focused Coping</w:t>
            </w:r>
          </w:p>
        </w:tc>
      </w:tr>
    </w:tbl>
    <w:p w14:paraId="5EBF8812" w14:textId="77777777" w:rsidR="00D22235" w:rsidRDefault="00D22235" w:rsidP="003E5B95">
      <w:pPr>
        <w:spacing w:after="240" w:line="240" w:lineRule="auto"/>
        <w:ind w:firstLine="0"/>
        <w:rPr>
          <w:color w:val="000000" w:themeColor="text1"/>
        </w:rPr>
        <w:sectPr w:rsidR="00D22235" w:rsidSect="00D22235">
          <w:pgSz w:w="12240" w:h="15840"/>
          <w:pgMar w:top="2880" w:right="1440" w:bottom="1440" w:left="1440" w:header="720" w:footer="720" w:gutter="0"/>
          <w:pgNumType w:fmt="lowerRoman"/>
          <w:cols w:space="720"/>
          <w:titlePg/>
          <w:docGrid w:linePitch="360"/>
        </w:sect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288" w:type="dxa"/>
          <w:bottom w:w="288" w:type="dxa"/>
          <w:right w:w="115" w:type="dxa"/>
        </w:tblCellMar>
        <w:tblLook w:val="04A0" w:firstRow="1" w:lastRow="0" w:firstColumn="1" w:lastColumn="0" w:noHBand="0" w:noVBand="1"/>
      </w:tblPr>
      <w:tblGrid>
        <w:gridCol w:w="1800"/>
        <w:gridCol w:w="7550"/>
      </w:tblGrid>
      <w:tr w:rsidR="003E5B95" w14:paraId="6A5B6ACB" w14:textId="77777777" w:rsidTr="003E5B95">
        <w:tc>
          <w:tcPr>
            <w:tcW w:w="1800" w:type="dxa"/>
          </w:tcPr>
          <w:p w14:paraId="50CBF286" w14:textId="747F9D39" w:rsidR="003E5B95" w:rsidRDefault="003E5B95" w:rsidP="003E5B95">
            <w:pPr>
              <w:spacing w:after="240" w:line="240" w:lineRule="auto"/>
              <w:ind w:firstLine="0"/>
              <w:rPr>
                <w:color w:val="000000" w:themeColor="text1"/>
              </w:rPr>
            </w:pPr>
            <w:r>
              <w:rPr>
                <w:color w:val="000000" w:themeColor="text1"/>
              </w:rPr>
              <w:lastRenderedPageBreak/>
              <w:t>InfoSec</w:t>
            </w:r>
          </w:p>
        </w:tc>
        <w:tc>
          <w:tcPr>
            <w:tcW w:w="7550" w:type="dxa"/>
          </w:tcPr>
          <w:p w14:paraId="3B23E029" w14:textId="77777777" w:rsidR="003E5B95" w:rsidRDefault="003E5B95" w:rsidP="003E5B95">
            <w:pPr>
              <w:spacing w:after="240" w:line="240" w:lineRule="auto"/>
              <w:ind w:firstLine="0"/>
              <w:rPr>
                <w:color w:val="000000" w:themeColor="text1"/>
              </w:rPr>
            </w:pPr>
            <w:r>
              <w:rPr>
                <w:color w:val="000000" w:themeColor="text1"/>
              </w:rPr>
              <w:t>Information Security</w:t>
            </w:r>
          </w:p>
        </w:tc>
      </w:tr>
      <w:tr w:rsidR="003E5B95" w14:paraId="43EB65EB" w14:textId="77777777" w:rsidTr="003E5B95">
        <w:tc>
          <w:tcPr>
            <w:tcW w:w="1800" w:type="dxa"/>
          </w:tcPr>
          <w:p w14:paraId="501CEF26" w14:textId="77777777" w:rsidR="003E5B95" w:rsidRDefault="003E5B95" w:rsidP="003E5B95">
            <w:pPr>
              <w:spacing w:after="240" w:line="240" w:lineRule="auto"/>
              <w:ind w:firstLine="0"/>
              <w:rPr>
                <w:color w:val="000000" w:themeColor="text1"/>
              </w:rPr>
            </w:pPr>
            <w:r>
              <w:rPr>
                <w:color w:val="000000" w:themeColor="text1"/>
              </w:rPr>
              <w:t>IRR</w:t>
            </w:r>
          </w:p>
        </w:tc>
        <w:tc>
          <w:tcPr>
            <w:tcW w:w="7550" w:type="dxa"/>
          </w:tcPr>
          <w:p w14:paraId="010F52E2" w14:textId="77777777" w:rsidR="003E5B95" w:rsidRDefault="003E5B95" w:rsidP="003E5B95">
            <w:pPr>
              <w:spacing w:after="240" w:line="240" w:lineRule="auto"/>
              <w:ind w:firstLine="0"/>
              <w:rPr>
                <w:color w:val="000000" w:themeColor="text1"/>
              </w:rPr>
            </w:pPr>
            <w:r>
              <w:rPr>
                <w:color w:val="000000" w:themeColor="text1"/>
              </w:rPr>
              <w:t>Interrater reliability: the extent to which two or more raters agree</w:t>
            </w:r>
          </w:p>
        </w:tc>
      </w:tr>
      <w:tr w:rsidR="003E5B95" w14:paraId="3D28ADB0" w14:textId="77777777" w:rsidTr="003E5B95">
        <w:tc>
          <w:tcPr>
            <w:tcW w:w="1800" w:type="dxa"/>
          </w:tcPr>
          <w:p w14:paraId="38B1BC98" w14:textId="77777777" w:rsidR="003E5B95" w:rsidRDefault="003E5B95" w:rsidP="003E5B95">
            <w:pPr>
              <w:spacing w:after="240" w:line="240" w:lineRule="auto"/>
              <w:ind w:firstLine="0"/>
              <w:rPr>
                <w:color w:val="000000" w:themeColor="text1"/>
              </w:rPr>
            </w:pPr>
            <w:r>
              <w:rPr>
                <w:color w:val="000000" w:themeColor="text1"/>
              </w:rPr>
              <w:t>IS</w:t>
            </w:r>
          </w:p>
        </w:tc>
        <w:tc>
          <w:tcPr>
            <w:tcW w:w="7550" w:type="dxa"/>
          </w:tcPr>
          <w:p w14:paraId="159CD875" w14:textId="77777777" w:rsidR="003E5B95" w:rsidRDefault="003E5B95" w:rsidP="003E5B95">
            <w:pPr>
              <w:spacing w:after="240" w:line="240" w:lineRule="auto"/>
              <w:ind w:firstLine="0"/>
              <w:rPr>
                <w:color w:val="000000" w:themeColor="text1"/>
              </w:rPr>
            </w:pPr>
            <w:r>
              <w:rPr>
                <w:color w:val="000000" w:themeColor="text1"/>
              </w:rPr>
              <w:t>Information Systems</w:t>
            </w:r>
          </w:p>
        </w:tc>
      </w:tr>
      <w:tr w:rsidR="003E5B95" w14:paraId="5B6B8678" w14:textId="77777777" w:rsidTr="003E5B95">
        <w:tc>
          <w:tcPr>
            <w:tcW w:w="1800" w:type="dxa"/>
          </w:tcPr>
          <w:p w14:paraId="5C9C00B8" w14:textId="77777777" w:rsidR="003E5B95" w:rsidRDefault="003E5B95" w:rsidP="003E5B95">
            <w:pPr>
              <w:spacing w:after="240" w:line="240" w:lineRule="auto"/>
              <w:ind w:firstLine="0"/>
              <w:rPr>
                <w:color w:val="000000" w:themeColor="text1"/>
              </w:rPr>
            </w:pPr>
            <w:r>
              <w:rPr>
                <w:color w:val="000000" w:themeColor="text1"/>
              </w:rPr>
              <w:t>ISS</w:t>
            </w:r>
          </w:p>
        </w:tc>
        <w:tc>
          <w:tcPr>
            <w:tcW w:w="7550" w:type="dxa"/>
          </w:tcPr>
          <w:p w14:paraId="67D46D21" w14:textId="77777777" w:rsidR="003E5B95" w:rsidRDefault="003E5B95" w:rsidP="003E5B95">
            <w:pPr>
              <w:spacing w:after="240" w:line="240" w:lineRule="auto"/>
              <w:ind w:firstLine="0"/>
              <w:rPr>
                <w:color w:val="000000" w:themeColor="text1"/>
              </w:rPr>
            </w:pPr>
            <w:r>
              <w:rPr>
                <w:color w:val="000000" w:themeColor="text1"/>
              </w:rPr>
              <w:t>Information Security Stress</w:t>
            </w:r>
          </w:p>
        </w:tc>
      </w:tr>
      <w:tr w:rsidR="003E5B95" w14:paraId="59A07EC8" w14:textId="77777777" w:rsidTr="003E5B95">
        <w:tc>
          <w:tcPr>
            <w:tcW w:w="1800" w:type="dxa"/>
          </w:tcPr>
          <w:p w14:paraId="4712909F" w14:textId="77777777" w:rsidR="003E5B95" w:rsidRDefault="003E5B95" w:rsidP="003E5B95">
            <w:pPr>
              <w:spacing w:after="240" w:line="240" w:lineRule="auto"/>
              <w:ind w:firstLine="0"/>
              <w:rPr>
                <w:color w:val="000000" w:themeColor="text1"/>
              </w:rPr>
            </w:pPr>
            <w:proofErr w:type="spellStart"/>
            <w:r>
              <w:rPr>
                <w:color w:val="000000" w:themeColor="text1"/>
              </w:rPr>
              <w:t>MTurk</w:t>
            </w:r>
            <w:proofErr w:type="spellEnd"/>
          </w:p>
        </w:tc>
        <w:tc>
          <w:tcPr>
            <w:tcW w:w="7550" w:type="dxa"/>
          </w:tcPr>
          <w:p w14:paraId="2E42F43C" w14:textId="77777777" w:rsidR="003E5B95" w:rsidRDefault="003E5B95" w:rsidP="003E5B95">
            <w:pPr>
              <w:spacing w:after="240" w:line="240" w:lineRule="auto"/>
              <w:ind w:firstLine="0"/>
              <w:rPr>
                <w:color w:val="000000" w:themeColor="text1"/>
              </w:rPr>
            </w:pPr>
            <w:r>
              <w:rPr>
                <w:color w:val="000000" w:themeColor="text1"/>
              </w:rPr>
              <w:t>Amazon Mechanical Turk</w:t>
            </w:r>
          </w:p>
        </w:tc>
      </w:tr>
      <w:tr w:rsidR="003E5B95" w14:paraId="0CC52661" w14:textId="77777777" w:rsidTr="003E5B95">
        <w:tc>
          <w:tcPr>
            <w:tcW w:w="1800" w:type="dxa"/>
          </w:tcPr>
          <w:p w14:paraId="7D2CA874" w14:textId="77777777" w:rsidR="003E5B95" w:rsidRDefault="003E5B95" w:rsidP="003E5B95">
            <w:pPr>
              <w:spacing w:after="240" w:line="240" w:lineRule="auto"/>
              <w:ind w:firstLine="0"/>
              <w:rPr>
                <w:color w:val="000000" w:themeColor="text1"/>
              </w:rPr>
            </w:pPr>
            <w:r>
              <w:rPr>
                <w:color w:val="000000" w:themeColor="text1"/>
              </w:rPr>
              <w:t>N</w:t>
            </w:r>
          </w:p>
        </w:tc>
        <w:tc>
          <w:tcPr>
            <w:tcW w:w="7550" w:type="dxa"/>
          </w:tcPr>
          <w:p w14:paraId="35475643" w14:textId="77777777" w:rsidR="003E5B95" w:rsidRDefault="003E5B95" w:rsidP="003E5B95">
            <w:pPr>
              <w:spacing w:after="240" w:line="240" w:lineRule="auto"/>
              <w:ind w:firstLine="0"/>
              <w:rPr>
                <w:color w:val="000000" w:themeColor="text1"/>
              </w:rPr>
            </w:pPr>
            <w:r>
              <w:rPr>
                <w:color w:val="000000" w:themeColor="text1"/>
              </w:rPr>
              <w:t>Sample size</w:t>
            </w:r>
          </w:p>
        </w:tc>
      </w:tr>
      <w:tr w:rsidR="003E5B95" w14:paraId="255661DC" w14:textId="77777777" w:rsidTr="003E5B95">
        <w:tc>
          <w:tcPr>
            <w:tcW w:w="1800" w:type="dxa"/>
          </w:tcPr>
          <w:p w14:paraId="025E0925" w14:textId="77777777" w:rsidR="003E5B95" w:rsidRDefault="003E5B95" w:rsidP="003E5B95">
            <w:pPr>
              <w:spacing w:after="240" w:line="240" w:lineRule="auto"/>
              <w:ind w:firstLine="0"/>
              <w:rPr>
                <w:color w:val="000000" w:themeColor="text1"/>
              </w:rPr>
            </w:pPr>
            <w:r>
              <w:rPr>
                <w:color w:val="000000" w:themeColor="text1"/>
              </w:rPr>
              <w:t>NIST</w:t>
            </w:r>
          </w:p>
        </w:tc>
        <w:tc>
          <w:tcPr>
            <w:tcW w:w="7550" w:type="dxa"/>
          </w:tcPr>
          <w:p w14:paraId="6C9182DE" w14:textId="77777777" w:rsidR="003E5B95" w:rsidRDefault="003E5B95" w:rsidP="003E5B95">
            <w:pPr>
              <w:spacing w:after="240" w:line="240" w:lineRule="auto"/>
              <w:ind w:firstLine="0"/>
              <w:rPr>
                <w:color w:val="000000" w:themeColor="text1"/>
              </w:rPr>
            </w:pPr>
            <w:r>
              <w:rPr>
                <w:color w:val="000000" w:themeColor="text1"/>
              </w:rPr>
              <w:t>National Institute of Standards and Technology</w:t>
            </w:r>
          </w:p>
        </w:tc>
      </w:tr>
      <w:tr w:rsidR="003E5B95" w14:paraId="1A002DDD" w14:textId="77777777" w:rsidTr="003E5B95">
        <w:tc>
          <w:tcPr>
            <w:tcW w:w="1800" w:type="dxa"/>
          </w:tcPr>
          <w:p w14:paraId="7DF4EBFE" w14:textId="77777777" w:rsidR="003E5B95" w:rsidRDefault="003E5B95" w:rsidP="003E5B95">
            <w:pPr>
              <w:spacing w:after="240" w:line="240" w:lineRule="auto"/>
              <w:ind w:firstLine="0"/>
              <w:rPr>
                <w:color w:val="000000" w:themeColor="text1"/>
              </w:rPr>
            </w:pPr>
            <w:r>
              <w:rPr>
                <w:color w:val="000000" w:themeColor="text1"/>
              </w:rPr>
              <w:t>NICE</w:t>
            </w:r>
          </w:p>
        </w:tc>
        <w:tc>
          <w:tcPr>
            <w:tcW w:w="7550" w:type="dxa"/>
          </w:tcPr>
          <w:p w14:paraId="380E5C85" w14:textId="77777777" w:rsidR="003E5B95" w:rsidRDefault="003E5B95" w:rsidP="003E5B95">
            <w:pPr>
              <w:spacing w:after="240" w:line="240" w:lineRule="auto"/>
              <w:ind w:firstLine="0"/>
              <w:rPr>
                <w:color w:val="000000" w:themeColor="text1"/>
              </w:rPr>
            </w:pPr>
            <w:r>
              <w:rPr>
                <w:color w:val="000000" w:themeColor="text1"/>
              </w:rPr>
              <w:t>National Initiative for Cybersecurity Education</w:t>
            </w:r>
          </w:p>
        </w:tc>
      </w:tr>
      <w:tr w:rsidR="003E5B95" w14:paraId="48DB2F59" w14:textId="77777777" w:rsidTr="003E5B95">
        <w:tc>
          <w:tcPr>
            <w:tcW w:w="1800" w:type="dxa"/>
          </w:tcPr>
          <w:p w14:paraId="13EC3F12" w14:textId="77777777" w:rsidR="003E5B95" w:rsidRDefault="003E5B95" w:rsidP="003E5B95">
            <w:pPr>
              <w:spacing w:after="240" w:line="240" w:lineRule="auto"/>
              <w:ind w:firstLine="0"/>
              <w:rPr>
                <w:color w:val="000000" w:themeColor="text1"/>
              </w:rPr>
            </w:pPr>
            <w:r>
              <w:rPr>
                <w:color w:val="000000" w:themeColor="text1"/>
              </w:rPr>
              <w:t>p (lowercase)</w:t>
            </w:r>
          </w:p>
        </w:tc>
        <w:tc>
          <w:tcPr>
            <w:tcW w:w="7550" w:type="dxa"/>
          </w:tcPr>
          <w:p w14:paraId="693C4976" w14:textId="77777777" w:rsidR="003E5B95" w:rsidRDefault="003E5B95" w:rsidP="003E5B95">
            <w:pPr>
              <w:spacing w:after="240" w:line="240" w:lineRule="auto"/>
              <w:ind w:firstLine="0"/>
              <w:rPr>
                <w:color w:val="000000" w:themeColor="text1"/>
              </w:rPr>
            </w:pPr>
            <w:r>
              <w:rPr>
                <w:color w:val="000000" w:themeColor="text1"/>
              </w:rPr>
              <w:t>Probability associated with the occurrence under the null hypothesis of a value as or more extreme than the observed value</w:t>
            </w:r>
          </w:p>
        </w:tc>
      </w:tr>
      <w:tr w:rsidR="003E5B95" w14:paraId="7631932D" w14:textId="77777777" w:rsidTr="003E5B95">
        <w:tc>
          <w:tcPr>
            <w:tcW w:w="1800" w:type="dxa"/>
          </w:tcPr>
          <w:p w14:paraId="1BB4505C" w14:textId="77777777" w:rsidR="003E5B95" w:rsidRDefault="003E5B95" w:rsidP="003E5B95">
            <w:pPr>
              <w:spacing w:after="240" w:line="240" w:lineRule="auto"/>
              <w:ind w:firstLine="0"/>
              <w:rPr>
                <w:color w:val="000000" w:themeColor="text1"/>
              </w:rPr>
            </w:pPr>
            <w:r>
              <w:rPr>
                <w:color w:val="000000" w:themeColor="text1"/>
              </w:rPr>
              <w:t>PFS</w:t>
            </w:r>
          </w:p>
        </w:tc>
        <w:tc>
          <w:tcPr>
            <w:tcW w:w="7550" w:type="dxa"/>
          </w:tcPr>
          <w:p w14:paraId="6F7BA9E4" w14:textId="77777777" w:rsidR="003E5B95" w:rsidRDefault="003E5B95" w:rsidP="003E5B95">
            <w:pPr>
              <w:spacing w:after="240" w:line="240" w:lineRule="auto"/>
              <w:ind w:firstLine="0"/>
              <w:rPr>
                <w:color w:val="000000" w:themeColor="text1"/>
              </w:rPr>
            </w:pPr>
            <w:r>
              <w:rPr>
                <w:color w:val="000000" w:themeColor="text1"/>
              </w:rPr>
              <w:t>Problem-Focused Savoring</w:t>
            </w:r>
          </w:p>
        </w:tc>
      </w:tr>
      <w:tr w:rsidR="003E5B95" w14:paraId="6D11BE08" w14:textId="77777777" w:rsidTr="003E5B95">
        <w:tc>
          <w:tcPr>
            <w:tcW w:w="1800" w:type="dxa"/>
          </w:tcPr>
          <w:p w14:paraId="66E80F38" w14:textId="77777777" w:rsidR="003E5B95" w:rsidRDefault="003E5B95" w:rsidP="003E5B95">
            <w:pPr>
              <w:spacing w:after="240" w:line="240" w:lineRule="auto"/>
              <w:ind w:firstLine="0"/>
              <w:rPr>
                <w:color w:val="000000" w:themeColor="text1"/>
              </w:rPr>
            </w:pPr>
            <w:r>
              <w:rPr>
                <w:color w:val="000000" w:themeColor="text1"/>
              </w:rPr>
              <w:t>R</w:t>
            </w:r>
            <w:r>
              <w:rPr>
                <w:color w:val="000000"/>
                <w:vertAlign w:val="superscript"/>
              </w:rPr>
              <w:t>2</w:t>
            </w:r>
          </w:p>
        </w:tc>
        <w:tc>
          <w:tcPr>
            <w:tcW w:w="7550" w:type="dxa"/>
          </w:tcPr>
          <w:p w14:paraId="6F9CCA82" w14:textId="77777777" w:rsidR="003E5B95" w:rsidRDefault="003E5B95" w:rsidP="003E5B95">
            <w:pPr>
              <w:spacing w:after="240" w:line="240" w:lineRule="auto"/>
              <w:ind w:firstLine="0"/>
              <w:rPr>
                <w:color w:val="000000" w:themeColor="text1"/>
              </w:rPr>
            </w:pPr>
            <w:r>
              <w:rPr>
                <w:color w:val="000000" w:themeColor="text1"/>
              </w:rPr>
              <w:t>Coefficient of determination: the proportion of variance in the dependent variable that is predictable from the independent variable</w:t>
            </w:r>
          </w:p>
        </w:tc>
      </w:tr>
      <w:tr w:rsidR="003E5B95" w14:paraId="304A19A9" w14:textId="77777777" w:rsidTr="003E5B95">
        <w:tc>
          <w:tcPr>
            <w:tcW w:w="1800" w:type="dxa"/>
          </w:tcPr>
          <w:p w14:paraId="5CB42CD2" w14:textId="77777777" w:rsidR="003E5B95" w:rsidRDefault="003E5B95" w:rsidP="003E5B95">
            <w:pPr>
              <w:spacing w:after="240" w:line="240" w:lineRule="auto"/>
              <w:ind w:firstLine="0"/>
              <w:rPr>
                <w:color w:val="000000" w:themeColor="text1"/>
              </w:rPr>
            </w:pPr>
            <w:r>
              <w:rPr>
                <w:color w:val="000000" w:themeColor="text1"/>
              </w:rPr>
              <w:t>RMSEA</w:t>
            </w:r>
          </w:p>
        </w:tc>
        <w:tc>
          <w:tcPr>
            <w:tcW w:w="7550" w:type="dxa"/>
          </w:tcPr>
          <w:p w14:paraId="07284E22" w14:textId="77777777" w:rsidR="003E5B95" w:rsidRDefault="003E5B95" w:rsidP="003E5B95">
            <w:pPr>
              <w:spacing w:after="240" w:line="240" w:lineRule="auto"/>
              <w:ind w:firstLine="0"/>
              <w:rPr>
                <w:color w:val="000000" w:themeColor="text1"/>
              </w:rPr>
            </w:pPr>
            <w:r>
              <w:rPr>
                <w:color w:val="000000" w:themeColor="text1"/>
              </w:rPr>
              <w:t>Root mean square error of approximation: a parsimony-adjusted index</w:t>
            </w:r>
          </w:p>
        </w:tc>
      </w:tr>
      <w:tr w:rsidR="003E5B95" w14:paraId="1C4B5EA4" w14:textId="77777777" w:rsidTr="003E5B95">
        <w:tc>
          <w:tcPr>
            <w:tcW w:w="1800" w:type="dxa"/>
          </w:tcPr>
          <w:p w14:paraId="25C741C9" w14:textId="77777777" w:rsidR="003E5B95" w:rsidRDefault="003E5B95" w:rsidP="003E5B95">
            <w:pPr>
              <w:spacing w:after="240" w:line="240" w:lineRule="auto"/>
              <w:ind w:firstLine="0"/>
              <w:rPr>
                <w:color w:val="000000" w:themeColor="text1"/>
              </w:rPr>
            </w:pPr>
            <w:r>
              <w:rPr>
                <w:color w:val="000000" w:themeColor="text1"/>
              </w:rPr>
              <w:t>SRS</w:t>
            </w:r>
          </w:p>
        </w:tc>
        <w:tc>
          <w:tcPr>
            <w:tcW w:w="7550" w:type="dxa"/>
          </w:tcPr>
          <w:p w14:paraId="68338A3E" w14:textId="77777777" w:rsidR="003E5B95" w:rsidRDefault="003E5B95" w:rsidP="003E5B95">
            <w:pPr>
              <w:spacing w:after="240" w:line="240" w:lineRule="auto"/>
              <w:ind w:firstLine="0"/>
              <w:rPr>
                <w:color w:val="000000" w:themeColor="text1"/>
              </w:rPr>
            </w:pPr>
            <w:r>
              <w:rPr>
                <w:color w:val="000000" w:themeColor="text1"/>
              </w:rPr>
              <w:t>Security-Related Stress</w:t>
            </w:r>
          </w:p>
        </w:tc>
      </w:tr>
      <w:tr w:rsidR="003E5B95" w14:paraId="39DAC51D" w14:textId="77777777" w:rsidTr="003E5B95">
        <w:tc>
          <w:tcPr>
            <w:tcW w:w="1800" w:type="dxa"/>
          </w:tcPr>
          <w:p w14:paraId="127A858F" w14:textId="77777777" w:rsidR="003E5B95" w:rsidRDefault="003E5B95" w:rsidP="003E5B95">
            <w:pPr>
              <w:spacing w:after="240" w:line="240" w:lineRule="auto"/>
              <w:ind w:firstLine="0"/>
              <w:rPr>
                <w:color w:val="000000" w:themeColor="text1"/>
              </w:rPr>
            </w:pPr>
            <w:r>
              <w:rPr>
                <w:color w:val="000000" w:themeColor="text1"/>
              </w:rPr>
              <w:t>TLI</w:t>
            </w:r>
          </w:p>
        </w:tc>
        <w:tc>
          <w:tcPr>
            <w:tcW w:w="7550" w:type="dxa"/>
          </w:tcPr>
          <w:p w14:paraId="01627979" w14:textId="77777777" w:rsidR="003E5B95" w:rsidRDefault="003E5B95" w:rsidP="003E5B95">
            <w:pPr>
              <w:spacing w:after="240" w:line="240" w:lineRule="auto"/>
              <w:ind w:firstLine="0"/>
              <w:rPr>
                <w:color w:val="000000" w:themeColor="text1"/>
              </w:rPr>
            </w:pPr>
            <w:r>
              <w:rPr>
                <w:color w:val="000000" w:themeColor="text1"/>
              </w:rPr>
              <w:t>Tucker Lewis index: a non-normed fit index comparing the model of interest to the null model</w:t>
            </w:r>
          </w:p>
        </w:tc>
      </w:tr>
      <w:tr w:rsidR="003E5B95" w14:paraId="0AA47597" w14:textId="77777777" w:rsidTr="003E5B95">
        <w:tc>
          <w:tcPr>
            <w:tcW w:w="1800" w:type="dxa"/>
          </w:tcPr>
          <w:p w14:paraId="18C8BF2F" w14:textId="77777777" w:rsidR="003E5B95" w:rsidRDefault="003E5B95" w:rsidP="003E5B95">
            <w:pPr>
              <w:spacing w:after="240" w:line="240" w:lineRule="auto"/>
              <w:ind w:firstLine="0"/>
              <w:rPr>
                <w:color w:val="000000" w:themeColor="text1"/>
              </w:rPr>
            </w:pPr>
            <w:r>
              <w:rPr>
                <w:color w:val="000000" w:themeColor="text1"/>
              </w:rPr>
              <w:t>Δ</w:t>
            </w:r>
          </w:p>
        </w:tc>
        <w:tc>
          <w:tcPr>
            <w:tcW w:w="7550" w:type="dxa"/>
          </w:tcPr>
          <w:p w14:paraId="685B1E40" w14:textId="77777777" w:rsidR="003E5B95" w:rsidRDefault="003E5B95" w:rsidP="003E5B95">
            <w:pPr>
              <w:spacing w:after="240" w:line="240" w:lineRule="auto"/>
              <w:ind w:firstLine="0"/>
              <w:rPr>
                <w:color w:val="000000" w:themeColor="text1"/>
              </w:rPr>
            </w:pPr>
            <w:r>
              <w:rPr>
                <w:color w:val="000000" w:themeColor="text1"/>
              </w:rPr>
              <w:t>Change</w:t>
            </w:r>
          </w:p>
        </w:tc>
      </w:tr>
    </w:tbl>
    <w:p w14:paraId="623FCA64" w14:textId="77777777" w:rsidR="003E5B95" w:rsidRDefault="003E5B95" w:rsidP="003E5B95">
      <w:pPr>
        <w:spacing w:after="240" w:line="240" w:lineRule="auto"/>
        <w:ind w:firstLine="0"/>
        <w:rPr>
          <w:color w:val="000000" w:themeColor="text1"/>
        </w:rPr>
        <w:sectPr w:rsidR="003E5B95" w:rsidSect="00D22235">
          <w:pgSz w:w="12240" w:h="15840"/>
          <w:pgMar w:top="1440" w:right="1440" w:bottom="1440" w:left="1440" w:header="720" w:footer="720" w:gutter="0"/>
          <w:pgNumType w:fmt="lowerRoman"/>
          <w:cols w:space="720"/>
          <w:titlePg/>
          <w:docGrid w:linePitch="360"/>
        </w:sectPr>
      </w:pPr>
    </w:p>
    <w:p w14:paraId="4444426F" w14:textId="77777777" w:rsidR="003E5B95" w:rsidRDefault="003E5B95" w:rsidP="003E5B95">
      <w:pPr>
        <w:pStyle w:val="Heading1"/>
      </w:pPr>
      <w:bookmarkStart w:id="16" w:name="_Toc74045204"/>
      <w:bookmarkStart w:id="17" w:name="_Toc74087488"/>
      <w:bookmarkStart w:id="18" w:name="_Toc74258605"/>
      <w:bookmarkStart w:id="19" w:name="_Hlk73953015"/>
      <w:r>
        <w:lastRenderedPageBreak/>
        <w:t>ACKNOWLEDGEMENTS</w:t>
      </w:r>
      <w:bookmarkEnd w:id="16"/>
      <w:bookmarkEnd w:id="17"/>
      <w:bookmarkEnd w:id="18"/>
    </w:p>
    <w:p w14:paraId="09B56994" w14:textId="1CF1D861" w:rsidR="003E5B95" w:rsidRDefault="003E5B95" w:rsidP="003E5B95">
      <w:pPr>
        <w:pStyle w:val="NormalWeb"/>
        <w:spacing w:before="0" w:beforeAutospacing="0" w:after="0" w:afterAutospacing="0" w:line="480" w:lineRule="auto"/>
        <w:ind w:firstLine="360"/>
        <w:rPr>
          <w:color w:val="0E101A"/>
        </w:rPr>
      </w:pPr>
      <w:bookmarkStart w:id="20" w:name="_Toc74087489"/>
      <w:bookmarkEnd w:id="19"/>
      <w:r>
        <w:rPr>
          <w:color w:val="0E101A"/>
        </w:rPr>
        <w:t xml:space="preserve">I am blessed to have so many people who have inspired, encouraged, and assisted me on this journey. I would like to express my </w:t>
      </w:r>
      <w:r w:rsidR="00EF294C">
        <w:rPr>
          <w:color w:val="0E101A"/>
        </w:rPr>
        <w:t>most profound</w:t>
      </w:r>
      <w:r>
        <w:rPr>
          <w:color w:val="0E101A"/>
        </w:rPr>
        <w:t xml:space="preserve"> appreciation to my committee for their continued support and encouragement. First and foremost, thank you to my committee chair, Dr. Allen Johnston, who was my professor even before I started this program. I feel blessed to have an advisor like you. This program could have never been easier than with you standing by my side. You made sure that I had resources for my research even before I needed them. You read and learned new things to teach me, listened to all my research ideas, and supported me in the best possible ways. Probably, the most memorable part of this journey was drawing research models together and restlessly troubleshooting statistical issues. The teaching and research abilities you have ingrained in me will continue to grow and serve me well far</w:t>
      </w:r>
      <w:r w:rsidR="00EF294C">
        <w:rPr>
          <w:color w:val="0E101A"/>
        </w:rPr>
        <w:t>,</w:t>
      </w:r>
      <w:r>
        <w:rPr>
          <w:color w:val="0E101A"/>
        </w:rPr>
        <w:t xml:space="preserve"> beyond this academic program. </w:t>
      </w:r>
    </w:p>
    <w:p w14:paraId="0FA010A9" w14:textId="2C3E05F7" w:rsidR="003E5B95" w:rsidRDefault="003E5B95" w:rsidP="003E5B95">
      <w:pPr>
        <w:pStyle w:val="NormalWeb"/>
        <w:spacing w:before="0" w:beforeAutospacing="0" w:after="0" w:afterAutospacing="0" w:line="480" w:lineRule="auto"/>
        <w:ind w:firstLine="360"/>
        <w:rPr>
          <w:color w:val="0E101A"/>
        </w:rPr>
      </w:pPr>
      <w:r>
        <w:rPr>
          <w:color w:val="0E101A"/>
        </w:rPr>
        <w:t>Thank you to Dr. John D’Arcy, who served as my external committee member, for providing valuable suggestions. Thank you to Dr. Matthew Hudnall</w:t>
      </w:r>
      <w:r w:rsidR="00EF294C">
        <w:rPr>
          <w:color w:val="0E101A"/>
        </w:rPr>
        <w:t xml:space="preserve">, </w:t>
      </w:r>
      <w:r>
        <w:rPr>
          <w:color w:val="0E101A"/>
        </w:rPr>
        <w:t>who helped me through the data collection process and went above and beyond to recruit participants for my dissertation research. I would also like to extend my sincere thanks to Dr. Peter D. Harms and Dr. Gregory Bott for providing valuable insights and feedback for this research. </w:t>
      </w:r>
    </w:p>
    <w:p w14:paraId="0AABD839" w14:textId="28691862" w:rsidR="003E5B95" w:rsidRDefault="003E5B95" w:rsidP="003E5B95">
      <w:pPr>
        <w:pStyle w:val="NormalWeb"/>
        <w:spacing w:before="0" w:beforeAutospacing="0" w:after="0" w:afterAutospacing="0" w:line="480" w:lineRule="auto"/>
        <w:ind w:firstLine="360"/>
        <w:rPr>
          <w:color w:val="0E101A"/>
        </w:rPr>
        <w:sectPr w:rsidR="003E5B95" w:rsidSect="003E5B95">
          <w:pgSz w:w="12240" w:h="15840"/>
          <w:pgMar w:top="2880" w:right="1440" w:bottom="1440" w:left="1440" w:header="720" w:footer="720" w:gutter="0"/>
          <w:pgNumType w:fmt="lowerRoman"/>
          <w:cols w:space="720"/>
          <w:titlePg/>
          <w:docGrid w:linePitch="360"/>
        </w:sectPr>
      </w:pPr>
      <w:r>
        <w:rPr>
          <w:color w:val="0E101A"/>
        </w:rPr>
        <w:t xml:space="preserve">I also wish to thank Dr. Paul Di </w:t>
      </w:r>
      <w:proofErr w:type="spellStart"/>
      <w:r>
        <w:rPr>
          <w:color w:val="0E101A"/>
        </w:rPr>
        <w:t>Gangi</w:t>
      </w:r>
      <w:proofErr w:type="spellEnd"/>
      <w:r w:rsidR="00EF294C">
        <w:rPr>
          <w:color w:val="0E101A"/>
        </w:rPr>
        <w:t xml:space="preserve">, </w:t>
      </w:r>
      <w:r>
        <w:rPr>
          <w:color w:val="0E101A"/>
        </w:rPr>
        <w:t>who introduced me to the field of Information Systems and encouraged me to join this Ph.D. program. I owe you more than I can describe. Over the years, you have been a friend-cum-mentor whom I can always turn to if I need help or guidance. I still remember the day when I went to your office in confusion about whether I</w:t>
      </w:r>
    </w:p>
    <w:p w14:paraId="7D92B85A" w14:textId="681528A1" w:rsidR="003E5B95" w:rsidRDefault="003E5B95" w:rsidP="002F00D1">
      <w:pPr>
        <w:pStyle w:val="NormalWeb"/>
        <w:spacing w:before="0" w:beforeAutospacing="0" w:after="0" w:afterAutospacing="0" w:line="480" w:lineRule="auto"/>
        <w:rPr>
          <w:color w:val="0E101A"/>
        </w:rPr>
      </w:pPr>
      <w:r>
        <w:rPr>
          <w:color w:val="0E101A"/>
        </w:rPr>
        <w:lastRenderedPageBreak/>
        <w:t>should join the IS Ph.D. program. You said, “Yes,” and four years down the line, I feel that was the best decision I have ever made. </w:t>
      </w:r>
    </w:p>
    <w:p w14:paraId="00B75700" w14:textId="16F34E54" w:rsidR="003E5B95" w:rsidRDefault="003E5B95" w:rsidP="003E5B95">
      <w:pPr>
        <w:pStyle w:val="NormalWeb"/>
        <w:spacing w:before="0" w:beforeAutospacing="0" w:after="0" w:afterAutospacing="0" w:line="480" w:lineRule="auto"/>
        <w:ind w:firstLine="360"/>
        <w:rPr>
          <w:color w:val="0E101A"/>
        </w:rPr>
      </w:pPr>
      <w:r>
        <w:rPr>
          <w:color w:val="0E101A"/>
        </w:rPr>
        <w:t>I also wish to thank my beloved friends, Sangita Pillay and Joel Tully, who supported me along the way. I remember the day when I told you that I quit my job to join the Ph.D. program</w:t>
      </w:r>
      <w:r w:rsidR="00EF294C">
        <w:rPr>
          <w:color w:val="0E101A"/>
        </w:rPr>
        <w:t xml:space="preserve">, </w:t>
      </w:r>
      <w:r>
        <w:rPr>
          <w:color w:val="0E101A"/>
        </w:rPr>
        <w:t xml:space="preserve">and you believed that I could succeed. I know this journey would not have been as easy if you two were not there. I also wish to thank my friend </w:t>
      </w:r>
      <w:proofErr w:type="spellStart"/>
      <w:r>
        <w:rPr>
          <w:color w:val="0E101A"/>
        </w:rPr>
        <w:t>Megha</w:t>
      </w:r>
      <w:proofErr w:type="spellEnd"/>
      <w:r>
        <w:rPr>
          <w:color w:val="0E101A"/>
        </w:rPr>
        <w:t xml:space="preserve"> Jha who did not give up on me even though I was </w:t>
      </w:r>
      <w:r w:rsidR="00EF294C">
        <w:rPr>
          <w:color w:val="0E101A"/>
        </w:rPr>
        <w:t>terrible</w:t>
      </w:r>
      <w:r>
        <w:rPr>
          <w:color w:val="0E101A"/>
        </w:rPr>
        <w:t xml:space="preserve"> at answering her calls and texts during the past four years. I know you will be there whenever I need you. I am also grateful to Richa Tiwari Templin and David Templin for their friendship over the years.</w:t>
      </w:r>
    </w:p>
    <w:p w14:paraId="149149AF" w14:textId="12D9F5BD" w:rsidR="003E5B95" w:rsidRDefault="003E5B95" w:rsidP="003E5B95">
      <w:pPr>
        <w:pStyle w:val="NormalWeb"/>
        <w:spacing w:before="0" w:beforeAutospacing="0" w:after="0" w:afterAutospacing="0" w:line="480" w:lineRule="auto"/>
        <w:ind w:firstLine="360"/>
        <w:rPr>
          <w:color w:val="0E101A"/>
        </w:rPr>
      </w:pPr>
      <w:r>
        <w:rPr>
          <w:color w:val="0E101A"/>
        </w:rPr>
        <w:t xml:space="preserve">I also wish to thank my fellow graduate students Ning Yang and Teagen </w:t>
      </w:r>
      <w:proofErr w:type="spellStart"/>
      <w:r>
        <w:rPr>
          <w:color w:val="0E101A"/>
        </w:rPr>
        <w:t>Nabity</w:t>
      </w:r>
      <w:proofErr w:type="spellEnd"/>
      <w:r>
        <w:rPr>
          <w:color w:val="0E101A"/>
        </w:rPr>
        <w:t>-Grover. I can always count on your advice</w:t>
      </w:r>
      <w:r w:rsidR="00EF294C">
        <w:rPr>
          <w:color w:val="0E101A"/>
        </w:rPr>
        <w:t xml:space="preserve">, </w:t>
      </w:r>
      <w:r>
        <w:rPr>
          <w:color w:val="0E101A"/>
        </w:rPr>
        <w:t xml:space="preserve">and I will miss our time spent together on our lunch dates at the Chinese restaurant. Thank you to our Department Head, Dr. John </w:t>
      </w:r>
      <w:proofErr w:type="spellStart"/>
      <w:r>
        <w:rPr>
          <w:color w:val="0E101A"/>
        </w:rPr>
        <w:t>Mittenthal</w:t>
      </w:r>
      <w:proofErr w:type="spellEnd"/>
      <w:r>
        <w:rPr>
          <w:color w:val="0E101A"/>
        </w:rPr>
        <w:t>, for providing the necessary resources and funding for the completion of my research and dissertation. Also, thanks to our office associate, Ashley Bumgardner, and our academic advisor, Heather Davis, who provided prompt and helpful administrative assistance during this program. </w:t>
      </w:r>
    </w:p>
    <w:p w14:paraId="69582D41" w14:textId="77777777" w:rsidR="003E5B95" w:rsidRDefault="003E5B95" w:rsidP="003E5B95">
      <w:pPr>
        <w:pStyle w:val="NormalWeb"/>
        <w:spacing w:before="0" w:beforeAutospacing="0" w:after="0" w:afterAutospacing="0" w:line="480" w:lineRule="auto"/>
        <w:ind w:firstLine="360"/>
        <w:rPr>
          <w:color w:val="0E101A"/>
        </w:rPr>
        <w:sectPr w:rsidR="003E5B95" w:rsidSect="003E5B95">
          <w:pgSz w:w="12240" w:h="15840"/>
          <w:pgMar w:top="1440" w:right="1440" w:bottom="1440" w:left="1440" w:header="720" w:footer="720" w:gutter="0"/>
          <w:pgNumType w:fmt="lowerRoman"/>
          <w:cols w:space="720"/>
          <w:titlePg/>
          <w:docGrid w:linePitch="360"/>
        </w:sectPr>
      </w:pPr>
    </w:p>
    <w:p w14:paraId="4B0B882E" w14:textId="31805C16" w:rsidR="003E5B95" w:rsidRDefault="00B06E55" w:rsidP="00B06E55">
      <w:pPr>
        <w:pStyle w:val="NormalWeb"/>
        <w:spacing w:before="0" w:beforeAutospacing="0" w:after="0" w:afterAutospacing="0" w:line="480" w:lineRule="auto"/>
        <w:ind w:firstLine="360"/>
        <w:jc w:val="center"/>
        <w:rPr>
          <w:color w:val="0E101A"/>
        </w:rPr>
      </w:pPr>
      <w:r>
        <w:rPr>
          <w:color w:val="0E101A"/>
        </w:rPr>
        <w:lastRenderedPageBreak/>
        <w:t>CONTENTS</w:t>
      </w:r>
    </w:p>
    <w:bookmarkEnd w:id="20" w:displacedByCustomXml="next"/>
    <w:sdt>
      <w:sdtPr>
        <w:rPr>
          <w:rFonts w:ascii="Times New Roman" w:eastAsiaTheme="minorHAnsi" w:hAnsi="Times New Roman" w:cstheme="minorBidi"/>
          <w:b w:val="0"/>
          <w:caps w:val="0"/>
          <w:color w:val="auto"/>
          <w:spacing w:val="0"/>
          <w:kern w:val="20"/>
          <w:sz w:val="24"/>
          <w:szCs w:val="20"/>
          <w:lang w:eastAsia="ja-JP"/>
        </w:rPr>
        <w:id w:val="1137145530"/>
        <w:docPartObj>
          <w:docPartGallery w:val="Table of Contents"/>
          <w:docPartUnique/>
        </w:docPartObj>
      </w:sdtPr>
      <w:sdtEndPr>
        <w:rPr>
          <w:noProof/>
        </w:rPr>
      </w:sdtEndPr>
      <w:sdtContent>
        <w:p w14:paraId="72801DD5" w14:textId="0685F825" w:rsidR="003E5B95" w:rsidRPr="00177D4B" w:rsidRDefault="003E5B95">
          <w:pPr>
            <w:pStyle w:val="TOCHeading"/>
            <w:rPr>
              <w:rFonts w:ascii="Times New Roman" w:hAnsi="Times New Roman" w:cs="Times New Roman"/>
              <w:b w:val="0"/>
              <w:bCs/>
              <w:sz w:val="24"/>
              <w:szCs w:val="24"/>
            </w:rPr>
          </w:pPr>
        </w:p>
        <w:p w14:paraId="7400A283" w14:textId="12277D9C" w:rsidR="00A20AAF" w:rsidRPr="00A20AAF" w:rsidRDefault="003E5B95" w:rsidP="00A20AAF">
          <w:pPr>
            <w:pStyle w:val="TOC1"/>
            <w:rPr>
              <w:rFonts w:asciiTheme="minorHAnsi" w:eastAsiaTheme="minorEastAsia" w:hAnsiTheme="minorHAnsi"/>
              <w:kern w:val="0"/>
              <w:sz w:val="22"/>
              <w:szCs w:val="22"/>
              <w:lang w:eastAsia="en-US"/>
            </w:rPr>
          </w:pPr>
          <w:r w:rsidRPr="00177D4B">
            <w:rPr>
              <w:rFonts w:cs="Times New Roman"/>
              <w:bCs/>
              <w:szCs w:val="24"/>
            </w:rPr>
            <w:fldChar w:fldCharType="begin"/>
          </w:r>
          <w:r w:rsidRPr="00177D4B">
            <w:rPr>
              <w:rFonts w:cs="Times New Roman"/>
              <w:bCs/>
              <w:szCs w:val="24"/>
            </w:rPr>
            <w:instrText xml:space="preserve"> TOC \o "1-3" \h \z \u </w:instrText>
          </w:r>
          <w:r w:rsidRPr="00177D4B">
            <w:rPr>
              <w:rFonts w:cs="Times New Roman"/>
              <w:bCs/>
              <w:szCs w:val="24"/>
            </w:rPr>
            <w:fldChar w:fldCharType="separate"/>
          </w:r>
          <w:hyperlink w:anchor="_Toc74258602" w:history="1">
            <w:r w:rsidR="00A20AAF" w:rsidRPr="00A20AAF">
              <w:rPr>
                <w:rStyle w:val="Hyperlink"/>
              </w:rPr>
              <w:t>ABSTRACT</w:t>
            </w:r>
            <w:r w:rsidR="00A20AAF" w:rsidRPr="00A20AAF">
              <w:rPr>
                <w:webHidden/>
              </w:rPr>
              <w:tab/>
            </w:r>
            <w:r w:rsidR="00A20AAF" w:rsidRPr="00A20AAF">
              <w:rPr>
                <w:webHidden/>
              </w:rPr>
              <w:fldChar w:fldCharType="begin"/>
            </w:r>
            <w:r w:rsidR="00A20AAF" w:rsidRPr="00A20AAF">
              <w:rPr>
                <w:webHidden/>
              </w:rPr>
              <w:instrText xml:space="preserve"> PAGEREF _Toc74258602 \h </w:instrText>
            </w:r>
            <w:r w:rsidR="00A20AAF" w:rsidRPr="00A20AAF">
              <w:rPr>
                <w:webHidden/>
              </w:rPr>
            </w:r>
            <w:r w:rsidR="00A20AAF" w:rsidRPr="00A20AAF">
              <w:rPr>
                <w:webHidden/>
              </w:rPr>
              <w:fldChar w:fldCharType="separate"/>
            </w:r>
            <w:r w:rsidR="00A20AAF" w:rsidRPr="00A20AAF">
              <w:rPr>
                <w:webHidden/>
              </w:rPr>
              <w:t>ii</w:t>
            </w:r>
            <w:r w:rsidR="00A20AAF" w:rsidRPr="00A20AAF">
              <w:rPr>
                <w:webHidden/>
              </w:rPr>
              <w:fldChar w:fldCharType="end"/>
            </w:r>
          </w:hyperlink>
        </w:p>
        <w:p w14:paraId="57677F76" w14:textId="1E9F67C5" w:rsidR="00A20AAF" w:rsidRPr="00A20AAF" w:rsidRDefault="00B46A8E" w:rsidP="00A20AAF">
          <w:pPr>
            <w:pStyle w:val="TOC1"/>
            <w:rPr>
              <w:rFonts w:asciiTheme="minorHAnsi" w:eastAsiaTheme="minorEastAsia" w:hAnsiTheme="minorHAnsi"/>
              <w:kern w:val="0"/>
              <w:sz w:val="22"/>
              <w:szCs w:val="22"/>
              <w:lang w:eastAsia="en-US"/>
            </w:rPr>
          </w:pPr>
          <w:hyperlink w:anchor="_Toc74258603" w:history="1">
            <w:r w:rsidR="00A20AAF" w:rsidRPr="00A20AAF">
              <w:rPr>
                <w:rStyle w:val="Hyperlink"/>
              </w:rPr>
              <w:t>DEDICATION</w:t>
            </w:r>
            <w:r w:rsidR="00A20AAF" w:rsidRPr="00A20AAF">
              <w:rPr>
                <w:webHidden/>
              </w:rPr>
              <w:tab/>
            </w:r>
            <w:r w:rsidR="00A20AAF" w:rsidRPr="00A20AAF">
              <w:rPr>
                <w:webHidden/>
              </w:rPr>
              <w:fldChar w:fldCharType="begin"/>
            </w:r>
            <w:r w:rsidR="00A20AAF" w:rsidRPr="00A20AAF">
              <w:rPr>
                <w:webHidden/>
              </w:rPr>
              <w:instrText xml:space="preserve"> PAGEREF _Toc74258603 \h </w:instrText>
            </w:r>
            <w:r w:rsidR="00A20AAF" w:rsidRPr="00A20AAF">
              <w:rPr>
                <w:webHidden/>
              </w:rPr>
            </w:r>
            <w:r w:rsidR="00A20AAF" w:rsidRPr="00A20AAF">
              <w:rPr>
                <w:webHidden/>
              </w:rPr>
              <w:fldChar w:fldCharType="separate"/>
            </w:r>
            <w:r w:rsidR="00A20AAF" w:rsidRPr="00A20AAF">
              <w:rPr>
                <w:webHidden/>
              </w:rPr>
              <w:t>iii</w:t>
            </w:r>
            <w:r w:rsidR="00A20AAF" w:rsidRPr="00A20AAF">
              <w:rPr>
                <w:webHidden/>
              </w:rPr>
              <w:fldChar w:fldCharType="end"/>
            </w:r>
          </w:hyperlink>
        </w:p>
        <w:p w14:paraId="3891C615" w14:textId="5BBA866C" w:rsidR="00A20AAF" w:rsidRPr="00A20AAF" w:rsidRDefault="00B46A8E" w:rsidP="00A20AAF">
          <w:pPr>
            <w:pStyle w:val="TOC1"/>
            <w:rPr>
              <w:rFonts w:asciiTheme="minorHAnsi" w:eastAsiaTheme="minorEastAsia" w:hAnsiTheme="minorHAnsi"/>
              <w:kern w:val="0"/>
              <w:sz w:val="22"/>
              <w:szCs w:val="22"/>
              <w:lang w:eastAsia="en-US"/>
            </w:rPr>
          </w:pPr>
          <w:hyperlink w:anchor="_Toc74258604" w:history="1">
            <w:r w:rsidR="00A20AAF" w:rsidRPr="00A20AAF">
              <w:rPr>
                <w:rStyle w:val="Hyperlink"/>
              </w:rPr>
              <w:t>LIST OF ABBREVIATIONS AND SYMBOLS</w:t>
            </w:r>
            <w:r w:rsidR="00A20AAF" w:rsidRPr="00A20AAF">
              <w:rPr>
                <w:webHidden/>
              </w:rPr>
              <w:tab/>
            </w:r>
            <w:r w:rsidR="00A20AAF" w:rsidRPr="00A20AAF">
              <w:rPr>
                <w:webHidden/>
              </w:rPr>
              <w:fldChar w:fldCharType="begin"/>
            </w:r>
            <w:r w:rsidR="00A20AAF" w:rsidRPr="00A20AAF">
              <w:rPr>
                <w:webHidden/>
              </w:rPr>
              <w:instrText xml:space="preserve"> PAGEREF _Toc74258604 \h </w:instrText>
            </w:r>
            <w:r w:rsidR="00A20AAF" w:rsidRPr="00A20AAF">
              <w:rPr>
                <w:webHidden/>
              </w:rPr>
            </w:r>
            <w:r w:rsidR="00A20AAF" w:rsidRPr="00A20AAF">
              <w:rPr>
                <w:webHidden/>
              </w:rPr>
              <w:fldChar w:fldCharType="separate"/>
            </w:r>
            <w:r w:rsidR="00A20AAF" w:rsidRPr="00A20AAF">
              <w:rPr>
                <w:webHidden/>
              </w:rPr>
              <w:t>iv</w:t>
            </w:r>
            <w:r w:rsidR="00A20AAF" w:rsidRPr="00A20AAF">
              <w:rPr>
                <w:webHidden/>
              </w:rPr>
              <w:fldChar w:fldCharType="end"/>
            </w:r>
          </w:hyperlink>
        </w:p>
        <w:p w14:paraId="4B68E2E7" w14:textId="1F93D967" w:rsidR="00A20AAF" w:rsidRPr="00A20AAF" w:rsidRDefault="00B46A8E" w:rsidP="00A20AAF">
          <w:pPr>
            <w:pStyle w:val="TOC1"/>
            <w:rPr>
              <w:rFonts w:asciiTheme="minorHAnsi" w:eastAsiaTheme="minorEastAsia" w:hAnsiTheme="minorHAnsi"/>
              <w:kern w:val="0"/>
              <w:sz w:val="22"/>
              <w:szCs w:val="22"/>
              <w:lang w:eastAsia="en-US"/>
            </w:rPr>
          </w:pPr>
          <w:hyperlink w:anchor="_Toc74258605" w:history="1">
            <w:r w:rsidR="00A20AAF" w:rsidRPr="00A20AAF">
              <w:rPr>
                <w:rStyle w:val="Hyperlink"/>
              </w:rPr>
              <w:t>ACKNOWLEDGEMENTS</w:t>
            </w:r>
            <w:r w:rsidR="00A20AAF" w:rsidRPr="00A20AAF">
              <w:rPr>
                <w:webHidden/>
              </w:rPr>
              <w:tab/>
            </w:r>
            <w:r w:rsidR="00A20AAF" w:rsidRPr="00A20AAF">
              <w:rPr>
                <w:webHidden/>
              </w:rPr>
              <w:fldChar w:fldCharType="begin"/>
            </w:r>
            <w:r w:rsidR="00A20AAF" w:rsidRPr="00A20AAF">
              <w:rPr>
                <w:webHidden/>
              </w:rPr>
              <w:instrText xml:space="preserve"> PAGEREF _Toc74258605 \h </w:instrText>
            </w:r>
            <w:r w:rsidR="00A20AAF" w:rsidRPr="00A20AAF">
              <w:rPr>
                <w:webHidden/>
              </w:rPr>
            </w:r>
            <w:r w:rsidR="00A20AAF" w:rsidRPr="00A20AAF">
              <w:rPr>
                <w:webHidden/>
              </w:rPr>
              <w:fldChar w:fldCharType="separate"/>
            </w:r>
            <w:r w:rsidR="00A20AAF" w:rsidRPr="00A20AAF">
              <w:rPr>
                <w:webHidden/>
              </w:rPr>
              <w:t>vi</w:t>
            </w:r>
            <w:r w:rsidR="00A20AAF" w:rsidRPr="00A20AAF">
              <w:rPr>
                <w:webHidden/>
              </w:rPr>
              <w:fldChar w:fldCharType="end"/>
            </w:r>
          </w:hyperlink>
        </w:p>
        <w:p w14:paraId="11D59881" w14:textId="05F24619" w:rsidR="00A20AAF" w:rsidRPr="00A20AAF" w:rsidRDefault="00B46A8E" w:rsidP="00A20AAF">
          <w:pPr>
            <w:pStyle w:val="TOC1"/>
            <w:rPr>
              <w:rFonts w:asciiTheme="minorHAnsi" w:eastAsiaTheme="minorEastAsia" w:hAnsiTheme="minorHAnsi"/>
              <w:kern w:val="0"/>
              <w:sz w:val="22"/>
              <w:szCs w:val="22"/>
              <w:lang w:eastAsia="en-US"/>
            </w:rPr>
          </w:pPr>
          <w:hyperlink w:anchor="_Toc74258606" w:history="1">
            <w:r w:rsidR="00A20AAF" w:rsidRPr="00A20AAF">
              <w:rPr>
                <w:rStyle w:val="Hyperlink"/>
              </w:rPr>
              <w:t>LIST OF TABLES</w:t>
            </w:r>
            <w:r w:rsidR="00A20AAF" w:rsidRPr="00A20AAF">
              <w:rPr>
                <w:webHidden/>
              </w:rPr>
              <w:tab/>
            </w:r>
            <w:r w:rsidR="00A20AAF" w:rsidRPr="00A20AAF">
              <w:rPr>
                <w:webHidden/>
              </w:rPr>
              <w:fldChar w:fldCharType="begin"/>
            </w:r>
            <w:r w:rsidR="00A20AAF" w:rsidRPr="00A20AAF">
              <w:rPr>
                <w:webHidden/>
              </w:rPr>
              <w:instrText xml:space="preserve"> PAGEREF _Toc74258606 \h </w:instrText>
            </w:r>
            <w:r w:rsidR="00A20AAF" w:rsidRPr="00A20AAF">
              <w:rPr>
                <w:webHidden/>
              </w:rPr>
            </w:r>
            <w:r w:rsidR="00A20AAF" w:rsidRPr="00A20AAF">
              <w:rPr>
                <w:webHidden/>
              </w:rPr>
              <w:fldChar w:fldCharType="separate"/>
            </w:r>
            <w:r w:rsidR="00A20AAF" w:rsidRPr="00A20AAF">
              <w:rPr>
                <w:webHidden/>
              </w:rPr>
              <w:t>xiv</w:t>
            </w:r>
            <w:r w:rsidR="00A20AAF" w:rsidRPr="00A20AAF">
              <w:rPr>
                <w:webHidden/>
              </w:rPr>
              <w:fldChar w:fldCharType="end"/>
            </w:r>
          </w:hyperlink>
        </w:p>
        <w:p w14:paraId="4A484582" w14:textId="7BAF99DF" w:rsidR="00A20AAF" w:rsidRPr="00A20AAF" w:rsidRDefault="00B46A8E" w:rsidP="00A20AAF">
          <w:pPr>
            <w:pStyle w:val="TOC1"/>
            <w:rPr>
              <w:rFonts w:asciiTheme="minorHAnsi" w:eastAsiaTheme="minorEastAsia" w:hAnsiTheme="minorHAnsi"/>
              <w:kern w:val="0"/>
              <w:sz w:val="22"/>
              <w:szCs w:val="22"/>
              <w:lang w:eastAsia="en-US"/>
            </w:rPr>
          </w:pPr>
          <w:hyperlink w:anchor="_Toc74258607" w:history="1">
            <w:r w:rsidR="00A20AAF" w:rsidRPr="00A20AAF">
              <w:rPr>
                <w:rStyle w:val="Hyperlink"/>
              </w:rPr>
              <w:t>LIST OF FIGURES</w:t>
            </w:r>
            <w:r w:rsidR="00A20AAF" w:rsidRPr="00A20AAF">
              <w:rPr>
                <w:webHidden/>
              </w:rPr>
              <w:tab/>
            </w:r>
            <w:r w:rsidR="00A20AAF" w:rsidRPr="00A20AAF">
              <w:rPr>
                <w:webHidden/>
              </w:rPr>
              <w:fldChar w:fldCharType="begin"/>
            </w:r>
            <w:r w:rsidR="00A20AAF" w:rsidRPr="00A20AAF">
              <w:rPr>
                <w:webHidden/>
              </w:rPr>
              <w:instrText xml:space="preserve"> PAGEREF _Toc74258607 \h </w:instrText>
            </w:r>
            <w:r w:rsidR="00A20AAF" w:rsidRPr="00A20AAF">
              <w:rPr>
                <w:webHidden/>
              </w:rPr>
            </w:r>
            <w:r w:rsidR="00A20AAF" w:rsidRPr="00A20AAF">
              <w:rPr>
                <w:webHidden/>
              </w:rPr>
              <w:fldChar w:fldCharType="separate"/>
            </w:r>
            <w:r w:rsidR="00A20AAF" w:rsidRPr="00A20AAF">
              <w:rPr>
                <w:webHidden/>
              </w:rPr>
              <w:t>xvi</w:t>
            </w:r>
            <w:r w:rsidR="00A20AAF" w:rsidRPr="00A20AAF">
              <w:rPr>
                <w:webHidden/>
              </w:rPr>
              <w:fldChar w:fldCharType="end"/>
            </w:r>
          </w:hyperlink>
        </w:p>
        <w:p w14:paraId="519F725A" w14:textId="447C87D8" w:rsidR="00A20AAF" w:rsidRPr="00A20AAF" w:rsidRDefault="00B46A8E" w:rsidP="00A20AAF">
          <w:pPr>
            <w:pStyle w:val="TOC1"/>
            <w:rPr>
              <w:rFonts w:asciiTheme="minorHAnsi" w:eastAsiaTheme="minorEastAsia" w:hAnsiTheme="minorHAnsi"/>
              <w:kern w:val="0"/>
              <w:sz w:val="22"/>
              <w:szCs w:val="22"/>
              <w:lang w:eastAsia="en-US"/>
            </w:rPr>
          </w:pPr>
          <w:hyperlink w:anchor="_Toc74258608" w:history="1">
            <w:r w:rsidR="00A20AAF" w:rsidRPr="00A20AAF">
              <w:rPr>
                <w:rStyle w:val="Hyperlink"/>
              </w:rPr>
              <w:t>INTRODUCTION</w:t>
            </w:r>
            <w:r w:rsidR="00A20AAF" w:rsidRPr="00A20AAF">
              <w:rPr>
                <w:webHidden/>
              </w:rPr>
              <w:tab/>
            </w:r>
            <w:r w:rsidR="00A20AAF" w:rsidRPr="00A20AAF">
              <w:rPr>
                <w:webHidden/>
              </w:rPr>
              <w:fldChar w:fldCharType="begin"/>
            </w:r>
            <w:r w:rsidR="00A20AAF" w:rsidRPr="00A20AAF">
              <w:rPr>
                <w:webHidden/>
              </w:rPr>
              <w:instrText xml:space="preserve"> PAGEREF _Toc74258608 \h </w:instrText>
            </w:r>
            <w:r w:rsidR="00A20AAF" w:rsidRPr="00A20AAF">
              <w:rPr>
                <w:webHidden/>
              </w:rPr>
            </w:r>
            <w:r w:rsidR="00A20AAF" w:rsidRPr="00A20AAF">
              <w:rPr>
                <w:webHidden/>
              </w:rPr>
              <w:fldChar w:fldCharType="separate"/>
            </w:r>
            <w:r w:rsidR="00A20AAF" w:rsidRPr="00A20AAF">
              <w:rPr>
                <w:webHidden/>
              </w:rPr>
              <w:t>1</w:t>
            </w:r>
            <w:r w:rsidR="00A20AAF" w:rsidRPr="00A20AAF">
              <w:rPr>
                <w:webHidden/>
              </w:rPr>
              <w:fldChar w:fldCharType="end"/>
            </w:r>
          </w:hyperlink>
        </w:p>
        <w:p w14:paraId="6CF2D6A3" w14:textId="66989D2D" w:rsidR="00A20AAF" w:rsidRPr="00A20AAF" w:rsidRDefault="00B46A8E" w:rsidP="00A20AAF">
          <w:pPr>
            <w:pStyle w:val="TOC1"/>
            <w:rPr>
              <w:rFonts w:asciiTheme="minorHAnsi" w:eastAsiaTheme="minorEastAsia" w:hAnsiTheme="minorHAnsi"/>
              <w:kern w:val="0"/>
              <w:sz w:val="22"/>
              <w:szCs w:val="22"/>
              <w:lang w:eastAsia="en-US"/>
            </w:rPr>
          </w:pPr>
          <w:hyperlink w:anchor="_Toc74258609" w:history="1">
            <w:r w:rsidR="00A20AAF" w:rsidRPr="00A20AAF">
              <w:rPr>
                <w:rStyle w:val="Hyperlink"/>
              </w:rPr>
              <w:t>ANALYZING STRESS RESEARCH IN THE INFORMATION SECURITY LITERATURE AND ITS APPLICATION TO THE CYBERSECURITY PROFESSION</w:t>
            </w:r>
            <w:r w:rsidR="00A20AAF" w:rsidRPr="00A20AAF">
              <w:rPr>
                <w:webHidden/>
              </w:rPr>
              <w:tab/>
            </w:r>
            <w:r w:rsidR="00A20AAF" w:rsidRPr="00A20AAF">
              <w:rPr>
                <w:webHidden/>
              </w:rPr>
              <w:fldChar w:fldCharType="begin"/>
            </w:r>
            <w:r w:rsidR="00A20AAF" w:rsidRPr="00A20AAF">
              <w:rPr>
                <w:webHidden/>
              </w:rPr>
              <w:instrText xml:space="preserve"> PAGEREF _Toc74258609 \h </w:instrText>
            </w:r>
            <w:r w:rsidR="00A20AAF" w:rsidRPr="00A20AAF">
              <w:rPr>
                <w:webHidden/>
              </w:rPr>
            </w:r>
            <w:r w:rsidR="00A20AAF" w:rsidRPr="00A20AAF">
              <w:rPr>
                <w:webHidden/>
              </w:rPr>
              <w:fldChar w:fldCharType="separate"/>
            </w:r>
            <w:r w:rsidR="00A20AAF" w:rsidRPr="00A20AAF">
              <w:rPr>
                <w:webHidden/>
              </w:rPr>
              <w:t>5</w:t>
            </w:r>
            <w:r w:rsidR="00A20AAF" w:rsidRPr="00A20AAF">
              <w:rPr>
                <w:webHidden/>
              </w:rPr>
              <w:fldChar w:fldCharType="end"/>
            </w:r>
          </w:hyperlink>
        </w:p>
        <w:p w14:paraId="3B21134A" w14:textId="0FE6B504" w:rsidR="00A20AAF" w:rsidRPr="00A20AAF" w:rsidRDefault="00B46A8E" w:rsidP="00A20AAF">
          <w:pPr>
            <w:pStyle w:val="TOC1"/>
            <w:rPr>
              <w:rFonts w:asciiTheme="minorHAnsi" w:eastAsiaTheme="minorEastAsia" w:hAnsiTheme="minorHAnsi"/>
              <w:kern w:val="0"/>
              <w:sz w:val="22"/>
              <w:szCs w:val="22"/>
              <w:lang w:eastAsia="en-US"/>
            </w:rPr>
          </w:pPr>
          <w:hyperlink w:anchor="_Toc74258610" w:history="1">
            <w:r w:rsidR="00A20AAF" w:rsidRPr="00A20AAF">
              <w:rPr>
                <w:rStyle w:val="Hyperlink"/>
              </w:rPr>
              <w:t>REVIEW PROCESS</w:t>
            </w:r>
            <w:r w:rsidR="00A20AAF" w:rsidRPr="00A20AAF">
              <w:rPr>
                <w:webHidden/>
              </w:rPr>
              <w:tab/>
            </w:r>
            <w:r w:rsidR="00A20AAF" w:rsidRPr="00A20AAF">
              <w:rPr>
                <w:webHidden/>
              </w:rPr>
              <w:fldChar w:fldCharType="begin"/>
            </w:r>
            <w:r w:rsidR="00A20AAF" w:rsidRPr="00A20AAF">
              <w:rPr>
                <w:webHidden/>
              </w:rPr>
              <w:instrText xml:space="preserve"> PAGEREF _Toc74258610 \h </w:instrText>
            </w:r>
            <w:r w:rsidR="00A20AAF" w:rsidRPr="00A20AAF">
              <w:rPr>
                <w:webHidden/>
              </w:rPr>
            </w:r>
            <w:r w:rsidR="00A20AAF" w:rsidRPr="00A20AAF">
              <w:rPr>
                <w:webHidden/>
              </w:rPr>
              <w:fldChar w:fldCharType="separate"/>
            </w:r>
            <w:r w:rsidR="00A20AAF" w:rsidRPr="00A20AAF">
              <w:rPr>
                <w:webHidden/>
              </w:rPr>
              <w:t>8</w:t>
            </w:r>
            <w:r w:rsidR="00A20AAF" w:rsidRPr="00A20AAF">
              <w:rPr>
                <w:webHidden/>
              </w:rPr>
              <w:fldChar w:fldCharType="end"/>
            </w:r>
          </w:hyperlink>
        </w:p>
        <w:p w14:paraId="7EEDE342" w14:textId="4EEF489B" w:rsidR="00A20AAF" w:rsidRPr="00A20AAF" w:rsidRDefault="00B46A8E">
          <w:pPr>
            <w:pStyle w:val="TOC2"/>
            <w:rPr>
              <w:rFonts w:asciiTheme="minorHAnsi" w:eastAsiaTheme="minorEastAsia" w:hAnsiTheme="minorHAnsi"/>
              <w:noProof/>
              <w:kern w:val="0"/>
              <w:sz w:val="22"/>
              <w:szCs w:val="22"/>
              <w:lang w:eastAsia="en-US"/>
            </w:rPr>
          </w:pPr>
          <w:hyperlink w:anchor="_Toc74258611" w:history="1">
            <w:r w:rsidR="00A20AAF" w:rsidRPr="00A20AAF">
              <w:rPr>
                <w:rStyle w:val="Hyperlink"/>
                <w:noProof/>
              </w:rPr>
              <w:t>Planning Stage</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_Toc74258611 \h </w:instrText>
            </w:r>
            <w:r w:rsidR="00A20AAF" w:rsidRPr="00A20AAF">
              <w:rPr>
                <w:noProof/>
                <w:webHidden/>
              </w:rPr>
            </w:r>
            <w:r w:rsidR="00A20AAF" w:rsidRPr="00A20AAF">
              <w:rPr>
                <w:noProof/>
                <w:webHidden/>
              </w:rPr>
              <w:fldChar w:fldCharType="separate"/>
            </w:r>
            <w:r w:rsidR="00A20AAF" w:rsidRPr="00A20AAF">
              <w:rPr>
                <w:noProof/>
                <w:webHidden/>
              </w:rPr>
              <w:t>9</w:t>
            </w:r>
            <w:r w:rsidR="00A20AAF" w:rsidRPr="00A20AAF">
              <w:rPr>
                <w:noProof/>
                <w:webHidden/>
              </w:rPr>
              <w:fldChar w:fldCharType="end"/>
            </w:r>
          </w:hyperlink>
        </w:p>
        <w:p w14:paraId="073451F7" w14:textId="06C3D832" w:rsidR="00A20AAF" w:rsidRPr="00A20AAF" w:rsidRDefault="00B46A8E">
          <w:pPr>
            <w:pStyle w:val="TOC2"/>
            <w:rPr>
              <w:rFonts w:asciiTheme="minorHAnsi" w:eastAsiaTheme="minorEastAsia" w:hAnsiTheme="minorHAnsi"/>
              <w:noProof/>
              <w:kern w:val="0"/>
              <w:sz w:val="22"/>
              <w:szCs w:val="22"/>
              <w:lang w:eastAsia="en-US"/>
            </w:rPr>
          </w:pPr>
          <w:hyperlink w:anchor="_Toc74258612" w:history="1">
            <w:r w:rsidR="00A20AAF" w:rsidRPr="00A20AAF">
              <w:rPr>
                <w:rStyle w:val="Hyperlink"/>
                <w:noProof/>
              </w:rPr>
              <w:t>Selection Stage</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_Toc74258612 \h </w:instrText>
            </w:r>
            <w:r w:rsidR="00A20AAF" w:rsidRPr="00A20AAF">
              <w:rPr>
                <w:noProof/>
                <w:webHidden/>
              </w:rPr>
            </w:r>
            <w:r w:rsidR="00A20AAF" w:rsidRPr="00A20AAF">
              <w:rPr>
                <w:noProof/>
                <w:webHidden/>
              </w:rPr>
              <w:fldChar w:fldCharType="separate"/>
            </w:r>
            <w:r w:rsidR="00A20AAF" w:rsidRPr="00A20AAF">
              <w:rPr>
                <w:noProof/>
                <w:webHidden/>
              </w:rPr>
              <w:t>9</w:t>
            </w:r>
            <w:r w:rsidR="00A20AAF" w:rsidRPr="00A20AAF">
              <w:rPr>
                <w:noProof/>
                <w:webHidden/>
              </w:rPr>
              <w:fldChar w:fldCharType="end"/>
            </w:r>
          </w:hyperlink>
        </w:p>
        <w:p w14:paraId="7D393549" w14:textId="071494BF" w:rsidR="00A20AAF" w:rsidRPr="00A20AAF" w:rsidRDefault="00B46A8E">
          <w:pPr>
            <w:pStyle w:val="TOC2"/>
            <w:rPr>
              <w:rFonts w:asciiTheme="minorHAnsi" w:eastAsiaTheme="minorEastAsia" w:hAnsiTheme="minorHAnsi"/>
              <w:noProof/>
              <w:kern w:val="0"/>
              <w:sz w:val="22"/>
              <w:szCs w:val="22"/>
              <w:lang w:eastAsia="en-US"/>
            </w:rPr>
          </w:pPr>
          <w:hyperlink w:anchor="_Toc74258613" w:history="1">
            <w:r w:rsidR="00A20AAF" w:rsidRPr="00A20AAF">
              <w:rPr>
                <w:rStyle w:val="Hyperlink"/>
                <w:noProof/>
              </w:rPr>
              <w:t>Extraction Stage</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_Toc74258613 \h </w:instrText>
            </w:r>
            <w:r w:rsidR="00A20AAF" w:rsidRPr="00A20AAF">
              <w:rPr>
                <w:noProof/>
                <w:webHidden/>
              </w:rPr>
            </w:r>
            <w:r w:rsidR="00A20AAF" w:rsidRPr="00A20AAF">
              <w:rPr>
                <w:noProof/>
                <w:webHidden/>
              </w:rPr>
              <w:fldChar w:fldCharType="separate"/>
            </w:r>
            <w:r w:rsidR="00A20AAF" w:rsidRPr="00A20AAF">
              <w:rPr>
                <w:noProof/>
                <w:webHidden/>
              </w:rPr>
              <w:t>11</w:t>
            </w:r>
            <w:r w:rsidR="00A20AAF" w:rsidRPr="00A20AAF">
              <w:rPr>
                <w:noProof/>
                <w:webHidden/>
              </w:rPr>
              <w:fldChar w:fldCharType="end"/>
            </w:r>
          </w:hyperlink>
        </w:p>
        <w:p w14:paraId="16BE3971" w14:textId="0BD23A1E" w:rsidR="00A20AAF" w:rsidRPr="00A20AAF" w:rsidRDefault="00B46A8E" w:rsidP="00A20AAF">
          <w:pPr>
            <w:pStyle w:val="TOC1"/>
            <w:rPr>
              <w:rFonts w:asciiTheme="minorHAnsi" w:eastAsiaTheme="minorEastAsia" w:hAnsiTheme="minorHAnsi"/>
              <w:kern w:val="0"/>
              <w:sz w:val="22"/>
              <w:szCs w:val="22"/>
              <w:lang w:eastAsia="en-US"/>
            </w:rPr>
          </w:pPr>
          <w:hyperlink w:anchor="_Toc74258614" w:history="1">
            <w:r w:rsidR="00A20AAF" w:rsidRPr="00A20AAF">
              <w:rPr>
                <w:rStyle w:val="Hyperlink"/>
              </w:rPr>
              <w:t>REVIEW FINDINGS</w:t>
            </w:r>
            <w:r w:rsidR="00A20AAF" w:rsidRPr="00A20AAF">
              <w:rPr>
                <w:webHidden/>
              </w:rPr>
              <w:tab/>
            </w:r>
            <w:r w:rsidR="00A20AAF" w:rsidRPr="00A20AAF">
              <w:rPr>
                <w:webHidden/>
              </w:rPr>
              <w:fldChar w:fldCharType="begin"/>
            </w:r>
            <w:r w:rsidR="00A20AAF" w:rsidRPr="00A20AAF">
              <w:rPr>
                <w:webHidden/>
              </w:rPr>
              <w:instrText xml:space="preserve"> PAGEREF _Toc74258614 \h </w:instrText>
            </w:r>
            <w:r w:rsidR="00A20AAF" w:rsidRPr="00A20AAF">
              <w:rPr>
                <w:webHidden/>
              </w:rPr>
            </w:r>
            <w:r w:rsidR="00A20AAF" w:rsidRPr="00A20AAF">
              <w:rPr>
                <w:webHidden/>
              </w:rPr>
              <w:fldChar w:fldCharType="separate"/>
            </w:r>
            <w:r w:rsidR="00A20AAF" w:rsidRPr="00A20AAF">
              <w:rPr>
                <w:webHidden/>
              </w:rPr>
              <w:t>12</w:t>
            </w:r>
            <w:r w:rsidR="00A20AAF" w:rsidRPr="00A20AAF">
              <w:rPr>
                <w:webHidden/>
              </w:rPr>
              <w:fldChar w:fldCharType="end"/>
            </w:r>
          </w:hyperlink>
        </w:p>
        <w:p w14:paraId="1AAE6AB6" w14:textId="3CE8E675" w:rsidR="00A20AAF" w:rsidRPr="00A20AAF" w:rsidRDefault="00B46A8E">
          <w:pPr>
            <w:pStyle w:val="TOC2"/>
            <w:rPr>
              <w:rFonts w:asciiTheme="minorHAnsi" w:eastAsiaTheme="minorEastAsia" w:hAnsiTheme="minorHAnsi"/>
              <w:noProof/>
              <w:kern w:val="0"/>
              <w:sz w:val="22"/>
              <w:szCs w:val="22"/>
              <w:lang w:eastAsia="en-US"/>
            </w:rPr>
          </w:pPr>
          <w:hyperlink w:anchor="_Toc74258615" w:history="1">
            <w:r w:rsidR="00A20AAF" w:rsidRPr="00A20AAF">
              <w:rPr>
                <w:rStyle w:val="Hyperlink"/>
                <w:noProof/>
                <w:shd w:val="clear" w:color="auto" w:fill="FFFFFF"/>
              </w:rPr>
              <w:t>Demand</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_Toc74258615 \h </w:instrText>
            </w:r>
            <w:r w:rsidR="00A20AAF" w:rsidRPr="00A20AAF">
              <w:rPr>
                <w:noProof/>
                <w:webHidden/>
              </w:rPr>
            </w:r>
            <w:r w:rsidR="00A20AAF" w:rsidRPr="00A20AAF">
              <w:rPr>
                <w:noProof/>
                <w:webHidden/>
              </w:rPr>
              <w:fldChar w:fldCharType="separate"/>
            </w:r>
            <w:r w:rsidR="00A20AAF" w:rsidRPr="00A20AAF">
              <w:rPr>
                <w:noProof/>
                <w:webHidden/>
              </w:rPr>
              <w:t>13</w:t>
            </w:r>
            <w:r w:rsidR="00A20AAF" w:rsidRPr="00A20AAF">
              <w:rPr>
                <w:noProof/>
                <w:webHidden/>
              </w:rPr>
              <w:fldChar w:fldCharType="end"/>
            </w:r>
          </w:hyperlink>
        </w:p>
        <w:p w14:paraId="3040869C" w14:textId="4FD0BCB3" w:rsidR="00A20AAF" w:rsidRDefault="00B46A8E">
          <w:pPr>
            <w:pStyle w:val="TOC2"/>
            <w:rPr>
              <w:rFonts w:asciiTheme="minorHAnsi" w:eastAsiaTheme="minorEastAsia" w:hAnsiTheme="minorHAnsi"/>
              <w:noProof/>
              <w:kern w:val="0"/>
              <w:sz w:val="22"/>
              <w:szCs w:val="22"/>
              <w:lang w:eastAsia="en-US"/>
            </w:rPr>
          </w:pPr>
          <w:hyperlink w:anchor="_Toc74258616" w:history="1">
            <w:r w:rsidR="00A20AAF" w:rsidRPr="00A8201C">
              <w:rPr>
                <w:rStyle w:val="Hyperlink"/>
                <w:noProof/>
                <w:shd w:val="clear" w:color="auto" w:fill="FFFFFF"/>
              </w:rPr>
              <w:t>Appraisal</w:t>
            </w:r>
            <w:r w:rsidR="00A20AAF">
              <w:rPr>
                <w:noProof/>
                <w:webHidden/>
              </w:rPr>
              <w:tab/>
            </w:r>
            <w:r w:rsidR="00A20AAF">
              <w:rPr>
                <w:noProof/>
                <w:webHidden/>
              </w:rPr>
              <w:fldChar w:fldCharType="begin"/>
            </w:r>
            <w:r w:rsidR="00A20AAF">
              <w:rPr>
                <w:noProof/>
                <w:webHidden/>
              </w:rPr>
              <w:instrText xml:space="preserve"> PAGEREF _Toc74258616 \h </w:instrText>
            </w:r>
            <w:r w:rsidR="00A20AAF">
              <w:rPr>
                <w:noProof/>
                <w:webHidden/>
              </w:rPr>
            </w:r>
            <w:r w:rsidR="00A20AAF">
              <w:rPr>
                <w:noProof/>
                <w:webHidden/>
              </w:rPr>
              <w:fldChar w:fldCharType="separate"/>
            </w:r>
            <w:r w:rsidR="00A20AAF">
              <w:rPr>
                <w:noProof/>
                <w:webHidden/>
              </w:rPr>
              <w:t>17</w:t>
            </w:r>
            <w:r w:rsidR="00A20AAF">
              <w:rPr>
                <w:noProof/>
                <w:webHidden/>
              </w:rPr>
              <w:fldChar w:fldCharType="end"/>
            </w:r>
          </w:hyperlink>
        </w:p>
        <w:p w14:paraId="3678D4E1" w14:textId="7F007C6E" w:rsidR="00A20AAF" w:rsidRDefault="00B46A8E">
          <w:pPr>
            <w:pStyle w:val="TOC2"/>
            <w:rPr>
              <w:rFonts w:asciiTheme="minorHAnsi" w:eastAsiaTheme="minorEastAsia" w:hAnsiTheme="minorHAnsi"/>
              <w:noProof/>
              <w:kern w:val="0"/>
              <w:sz w:val="22"/>
              <w:szCs w:val="22"/>
              <w:lang w:eastAsia="en-US"/>
            </w:rPr>
          </w:pPr>
          <w:hyperlink w:anchor="_Toc74258617" w:history="1">
            <w:r w:rsidR="00A20AAF" w:rsidRPr="00A8201C">
              <w:rPr>
                <w:rStyle w:val="Hyperlink"/>
                <w:noProof/>
              </w:rPr>
              <w:t>Stress Response</w:t>
            </w:r>
            <w:r w:rsidR="00A20AAF">
              <w:rPr>
                <w:noProof/>
                <w:webHidden/>
              </w:rPr>
              <w:tab/>
            </w:r>
            <w:r w:rsidR="00A20AAF">
              <w:rPr>
                <w:noProof/>
                <w:webHidden/>
              </w:rPr>
              <w:fldChar w:fldCharType="begin"/>
            </w:r>
            <w:r w:rsidR="00A20AAF">
              <w:rPr>
                <w:noProof/>
                <w:webHidden/>
              </w:rPr>
              <w:instrText xml:space="preserve"> PAGEREF _Toc74258617 \h </w:instrText>
            </w:r>
            <w:r w:rsidR="00A20AAF">
              <w:rPr>
                <w:noProof/>
                <w:webHidden/>
              </w:rPr>
            </w:r>
            <w:r w:rsidR="00A20AAF">
              <w:rPr>
                <w:noProof/>
                <w:webHidden/>
              </w:rPr>
              <w:fldChar w:fldCharType="separate"/>
            </w:r>
            <w:r w:rsidR="00A20AAF">
              <w:rPr>
                <w:noProof/>
                <w:webHidden/>
              </w:rPr>
              <w:t>20</w:t>
            </w:r>
            <w:r w:rsidR="00A20AAF">
              <w:rPr>
                <w:noProof/>
                <w:webHidden/>
              </w:rPr>
              <w:fldChar w:fldCharType="end"/>
            </w:r>
          </w:hyperlink>
        </w:p>
        <w:p w14:paraId="548B9D25" w14:textId="78294046" w:rsidR="00A20AAF" w:rsidRDefault="00B46A8E">
          <w:pPr>
            <w:pStyle w:val="TOC2"/>
            <w:rPr>
              <w:rFonts w:asciiTheme="minorHAnsi" w:eastAsiaTheme="minorEastAsia" w:hAnsiTheme="minorHAnsi"/>
              <w:noProof/>
              <w:kern w:val="0"/>
              <w:sz w:val="22"/>
              <w:szCs w:val="22"/>
              <w:lang w:eastAsia="en-US"/>
            </w:rPr>
          </w:pPr>
          <w:hyperlink w:anchor="_Toc74258618" w:history="1">
            <w:r w:rsidR="00A20AAF" w:rsidRPr="00A8201C">
              <w:rPr>
                <w:rStyle w:val="Hyperlink"/>
                <w:noProof/>
                <w:shd w:val="clear" w:color="auto" w:fill="FFFFFF"/>
              </w:rPr>
              <w:t>Stress-Related Outcomes</w:t>
            </w:r>
            <w:r w:rsidR="00A20AAF">
              <w:rPr>
                <w:noProof/>
                <w:webHidden/>
              </w:rPr>
              <w:tab/>
            </w:r>
            <w:r w:rsidR="00A20AAF">
              <w:rPr>
                <w:noProof/>
                <w:webHidden/>
              </w:rPr>
              <w:fldChar w:fldCharType="begin"/>
            </w:r>
            <w:r w:rsidR="00A20AAF">
              <w:rPr>
                <w:noProof/>
                <w:webHidden/>
              </w:rPr>
              <w:instrText xml:space="preserve"> PAGEREF _Toc74258618 \h </w:instrText>
            </w:r>
            <w:r w:rsidR="00A20AAF">
              <w:rPr>
                <w:noProof/>
                <w:webHidden/>
              </w:rPr>
            </w:r>
            <w:r w:rsidR="00A20AAF">
              <w:rPr>
                <w:noProof/>
                <w:webHidden/>
              </w:rPr>
              <w:fldChar w:fldCharType="separate"/>
            </w:r>
            <w:r w:rsidR="00A20AAF">
              <w:rPr>
                <w:noProof/>
                <w:webHidden/>
              </w:rPr>
              <w:t>25</w:t>
            </w:r>
            <w:r w:rsidR="00A20AAF">
              <w:rPr>
                <w:noProof/>
                <w:webHidden/>
              </w:rPr>
              <w:fldChar w:fldCharType="end"/>
            </w:r>
          </w:hyperlink>
        </w:p>
        <w:p w14:paraId="0B187361" w14:textId="28608DB6" w:rsidR="00A20AAF" w:rsidRPr="00A20AAF" w:rsidRDefault="00B46A8E" w:rsidP="00A20AAF">
          <w:pPr>
            <w:pStyle w:val="TOC1"/>
            <w:rPr>
              <w:rFonts w:asciiTheme="minorHAnsi" w:eastAsiaTheme="minorEastAsia" w:hAnsiTheme="minorHAnsi"/>
              <w:kern w:val="0"/>
              <w:sz w:val="22"/>
              <w:szCs w:val="22"/>
              <w:lang w:eastAsia="en-US"/>
            </w:rPr>
          </w:pPr>
          <w:hyperlink w:anchor="_Toc74258619" w:history="1">
            <w:r w:rsidR="00A20AAF" w:rsidRPr="00A20AAF">
              <w:rPr>
                <w:rStyle w:val="Hyperlink"/>
              </w:rPr>
              <w:t>REVIEW OBSERVATIONS</w:t>
            </w:r>
            <w:r w:rsidR="00A20AAF" w:rsidRPr="00A20AAF">
              <w:rPr>
                <w:webHidden/>
              </w:rPr>
              <w:tab/>
            </w:r>
            <w:r w:rsidR="00A20AAF" w:rsidRPr="00A20AAF">
              <w:rPr>
                <w:webHidden/>
              </w:rPr>
              <w:fldChar w:fldCharType="begin"/>
            </w:r>
            <w:r w:rsidR="00A20AAF" w:rsidRPr="00A20AAF">
              <w:rPr>
                <w:webHidden/>
              </w:rPr>
              <w:instrText xml:space="preserve"> PAGEREF _Toc74258619 \h </w:instrText>
            </w:r>
            <w:r w:rsidR="00A20AAF" w:rsidRPr="00A20AAF">
              <w:rPr>
                <w:webHidden/>
              </w:rPr>
            </w:r>
            <w:r w:rsidR="00A20AAF" w:rsidRPr="00A20AAF">
              <w:rPr>
                <w:webHidden/>
              </w:rPr>
              <w:fldChar w:fldCharType="separate"/>
            </w:r>
            <w:r w:rsidR="00A20AAF" w:rsidRPr="00A20AAF">
              <w:rPr>
                <w:webHidden/>
              </w:rPr>
              <w:t>27</w:t>
            </w:r>
            <w:r w:rsidR="00A20AAF" w:rsidRPr="00A20AAF">
              <w:rPr>
                <w:webHidden/>
              </w:rPr>
              <w:fldChar w:fldCharType="end"/>
            </w:r>
          </w:hyperlink>
        </w:p>
        <w:p w14:paraId="440F0909" w14:textId="14BF12CF" w:rsidR="00A20AAF" w:rsidRDefault="00B46A8E">
          <w:pPr>
            <w:pStyle w:val="TOC2"/>
            <w:rPr>
              <w:rFonts w:asciiTheme="minorHAnsi" w:eastAsiaTheme="minorEastAsia" w:hAnsiTheme="minorHAnsi"/>
              <w:noProof/>
              <w:kern w:val="0"/>
              <w:sz w:val="22"/>
              <w:szCs w:val="22"/>
              <w:lang w:eastAsia="en-US"/>
            </w:rPr>
          </w:pPr>
          <w:hyperlink w:anchor="_Toc74258620" w:history="1">
            <w:r w:rsidR="00A20AAF" w:rsidRPr="00A8201C">
              <w:rPr>
                <w:rStyle w:val="Hyperlink"/>
                <w:noProof/>
                <w:shd w:val="clear" w:color="auto" w:fill="FFFFFF"/>
              </w:rPr>
              <w:t>Observation 1: Stress in the cybersecurity profession has been a mostly overlooked research phenomenon and, as such, is still in its infancy</w:t>
            </w:r>
            <w:r w:rsidR="00A20AAF">
              <w:rPr>
                <w:noProof/>
                <w:webHidden/>
              </w:rPr>
              <w:tab/>
            </w:r>
            <w:r w:rsidR="00A20AAF">
              <w:rPr>
                <w:noProof/>
                <w:webHidden/>
              </w:rPr>
              <w:fldChar w:fldCharType="begin"/>
            </w:r>
            <w:r w:rsidR="00A20AAF">
              <w:rPr>
                <w:noProof/>
                <w:webHidden/>
              </w:rPr>
              <w:instrText xml:space="preserve"> PAGEREF _Toc74258620 \h </w:instrText>
            </w:r>
            <w:r w:rsidR="00A20AAF">
              <w:rPr>
                <w:noProof/>
                <w:webHidden/>
              </w:rPr>
            </w:r>
            <w:r w:rsidR="00A20AAF">
              <w:rPr>
                <w:noProof/>
                <w:webHidden/>
              </w:rPr>
              <w:fldChar w:fldCharType="separate"/>
            </w:r>
            <w:r w:rsidR="00A20AAF">
              <w:rPr>
                <w:noProof/>
                <w:webHidden/>
              </w:rPr>
              <w:t>27</w:t>
            </w:r>
            <w:r w:rsidR="00A20AAF">
              <w:rPr>
                <w:noProof/>
                <w:webHidden/>
              </w:rPr>
              <w:fldChar w:fldCharType="end"/>
            </w:r>
          </w:hyperlink>
        </w:p>
        <w:p w14:paraId="0FDA6BF9" w14:textId="3A649F0B" w:rsidR="00A20AAF" w:rsidRDefault="00B46A8E">
          <w:pPr>
            <w:pStyle w:val="TOC2"/>
            <w:rPr>
              <w:rFonts w:asciiTheme="minorHAnsi" w:eastAsiaTheme="minorEastAsia" w:hAnsiTheme="minorHAnsi"/>
              <w:noProof/>
              <w:kern w:val="0"/>
              <w:sz w:val="22"/>
              <w:szCs w:val="22"/>
              <w:lang w:eastAsia="en-US"/>
            </w:rPr>
          </w:pPr>
          <w:hyperlink w:anchor="_Toc74258621" w:history="1">
            <w:r w:rsidR="00A20AAF" w:rsidRPr="00A8201C">
              <w:rPr>
                <w:rStyle w:val="Hyperlink"/>
                <w:noProof/>
              </w:rPr>
              <w:t>Observation 2: The current research available to inform the study of stress among cybersecurity professionals lacks novel outcomes</w:t>
            </w:r>
            <w:r w:rsidR="00A20AAF">
              <w:rPr>
                <w:noProof/>
                <w:webHidden/>
              </w:rPr>
              <w:tab/>
            </w:r>
            <w:r w:rsidR="00A20AAF">
              <w:rPr>
                <w:noProof/>
                <w:webHidden/>
              </w:rPr>
              <w:fldChar w:fldCharType="begin"/>
            </w:r>
            <w:r w:rsidR="00A20AAF">
              <w:rPr>
                <w:noProof/>
                <w:webHidden/>
              </w:rPr>
              <w:instrText xml:space="preserve"> PAGEREF _Toc74258621 \h </w:instrText>
            </w:r>
            <w:r w:rsidR="00A20AAF">
              <w:rPr>
                <w:noProof/>
                <w:webHidden/>
              </w:rPr>
            </w:r>
            <w:r w:rsidR="00A20AAF">
              <w:rPr>
                <w:noProof/>
                <w:webHidden/>
              </w:rPr>
              <w:fldChar w:fldCharType="separate"/>
            </w:r>
            <w:r w:rsidR="00A20AAF">
              <w:rPr>
                <w:noProof/>
                <w:webHidden/>
              </w:rPr>
              <w:t>30</w:t>
            </w:r>
            <w:r w:rsidR="00A20AAF">
              <w:rPr>
                <w:noProof/>
                <w:webHidden/>
              </w:rPr>
              <w:fldChar w:fldCharType="end"/>
            </w:r>
          </w:hyperlink>
        </w:p>
        <w:p w14:paraId="496CF0CB" w14:textId="12950D5B" w:rsidR="00A20AAF" w:rsidRPr="00A20AAF" w:rsidRDefault="00B46A8E">
          <w:pPr>
            <w:pStyle w:val="TOC2"/>
            <w:rPr>
              <w:rFonts w:asciiTheme="minorHAnsi" w:eastAsiaTheme="minorEastAsia" w:hAnsiTheme="minorHAnsi"/>
              <w:noProof/>
              <w:kern w:val="0"/>
              <w:sz w:val="22"/>
              <w:szCs w:val="22"/>
              <w:lang w:eastAsia="en-US"/>
            </w:rPr>
          </w:pPr>
          <w:hyperlink w:anchor="_Toc74258622" w:history="1">
            <w:r w:rsidR="00A20AAF" w:rsidRPr="00A20AAF">
              <w:rPr>
                <w:rStyle w:val="Hyperlink"/>
                <w:noProof/>
              </w:rPr>
              <w:t>Observation 3: The research on SRS focuses on security demands as the source of stress and burnout among organizational staff</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_Toc74258622 \h </w:instrText>
            </w:r>
            <w:r w:rsidR="00A20AAF" w:rsidRPr="00A20AAF">
              <w:rPr>
                <w:noProof/>
                <w:webHidden/>
              </w:rPr>
            </w:r>
            <w:r w:rsidR="00A20AAF" w:rsidRPr="00A20AAF">
              <w:rPr>
                <w:noProof/>
                <w:webHidden/>
              </w:rPr>
              <w:fldChar w:fldCharType="separate"/>
            </w:r>
            <w:r w:rsidR="00A20AAF" w:rsidRPr="00A20AAF">
              <w:rPr>
                <w:noProof/>
                <w:webHidden/>
              </w:rPr>
              <w:t>31</w:t>
            </w:r>
            <w:r w:rsidR="00A20AAF" w:rsidRPr="00A20AAF">
              <w:rPr>
                <w:noProof/>
                <w:webHidden/>
              </w:rPr>
              <w:fldChar w:fldCharType="end"/>
            </w:r>
          </w:hyperlink>
        </w:p>
        <w:p w14:paraId="735E8491" w14:textId="70F9F9C8" w:rsidR="00A20AAF" w:rsidRPr="00A20AAF" w:rsidRDefault="00B46A8E">
          <w:pPr>
            <w:pStyle w:val="TOC2"/>
            <w:rPr>
              <w:rFonts w:asciiTheme="minorHAnsi" w:eastAsiaTheme="minorEastAsia" w:hAnsiTheme="minorHAnsi"/>
              <w:noProof/>
              <w:kern w:val="0"/>
              <w:sz w:val="22"/>
              <w:szCs w:val="22"/>
              <w:lang w:eastAsia="en-US"/>
            </w:rPr>
          </w:pPr>
          <w:hyperlink w:anchor="_Toc74258623" w:history="1">
            <w:r w:rsidR="00A20AAF" w:rsidRPr="00A20AAF">
              <w:rPr>
                <w:rStyle w:val="Hyperlink"/>
                <w:noProof/>
              </w:rPr>
              <w:t>Observation 4: The current research available to inform the study of stress among cybersecurity professionals has mostly construed stress as a negative phenomenon</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_Toc74258623 \h </w:instrText>
            </w:r>
            <w:r w:rsidR="00A20AAF" w:rsidRPr="00A20AAF">
              <w:rPr>
                <w:noProof/>
                <w:webHidden/>
              </w:rPr>
            </w:r>
            <w:r w:rsidR="00A20AAF" w:rsidRPr="00A20AAF">
              <w:rPr>
                <w:noProof/>
                <w:webHidden/>
              </w:rPr>
              <w:fldChar w:fldCharType="separate"/>
            </w:r>
            <w:r w:rsidR="00A20AAF" w:rsidRPr="00A20AAF">
              <w:rPr>
                <w:noProof/>
                <w:webHidden/>
              </w:rPr>
              <w:t>32</w:t>
            </w:r>
            <w:r w:rsidR="00A20AAF" w:rsidRPr="00A20AAF">
              <w:rPr>
                <w:noProof/>
                <w:webHidden/>
              </w:rPr>
              <w:fldChar w:fldCharType="end"/>
            </w:r>
          </w:hyperlink>
        </w:p>
        <w:p w14:paraId="0C10B34D" w14:textId="35832E0F" w:rsidR="00A20AAF" w:rsidRPr="00A20AAF" w:rsidRDefault="00B46A8E">
          <w:pPr>
            <w:pStyle w:val="TOC2"/>
            <w:rPr>
              <w:rFonts w:asciiTheme="minorHAnsi" w:eastAsiaTheme="minorEastAsia" w:hAnsiTheme="minorHAnsi"/>
              <w:noProof/>
              <w:kern w:val="0"/>
              <w:sz w:val="22"/>
              <w:szCs w:val="22"/>
              <w:lang w:eastAsia="en-US"/>
            </w:rPr>
          </w:pPr>
          <w:hyperlink w:anchor="_Toc74258624" w:history="1">
            <w:r w:rsidR="00A20AAF" w:rsidRPr="00A20AAF">
              <w:rPr>
                <w:rStyle w:val="Hyperlink"/>
                <w:noProof/>
              </w:rPr>
              <w:t>Observation 5: The process for how environmental demands are appraised is underdeveloped in the current research when it comes to informing the study of stress among cybersecurity professionals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_Toc74258624 \h </w:instrText>
            </w:r>
            <w:r w:rsidR="00A20AAF" w:rsidRPr="00A20AAF">
              <w:rPr>
                <w:noProof/>
                <w:webHidden/>
              </w:rPr>
            </w:r>
            <w:r w:rsidR="00A20AAF" w:rsidRPr="00A20AAF">
              <w:rPr>
                <w:noProof/>
                <w:webHidden/>
              </w:rPr>
              <w:fldChar w:fldCharType="separate"/>
            </w:r>
            <w:r w:rsidR="00A20AAF" w:rsidRPr="00A20AAF">
              <w:rPr>
                <w:noProof/>
                <w:webHidden/>
              </w:rPr>
              <w:t>33</w:t>
            </w:r>
            <w:r w:rsidR="00A20AAF" w:rsidRPr="00A20AAF">
              <w:rPr>
                <w:noProof/>
                <w:webHidden/>
              </w:rPr>
              <w:fldChar w:fldCharType="end"/>
            </w:r>
          </w:hyperlink>
        </w:p>
        <w:p w14:paraId="77BB57ED" w14:textId="2F3A5F15" w:rsidR="00A20AAF" w:rsidRPr="00A20AAF" w:rsidRDefault="00B46A8E">
          <w:pPr>
            <w:pStyle w:val="TOC2"/>
            <w:rPr>
              <w:rFonts w:asciiTheme="minorHAnsi" w:eastAsiaTheme="minorEastAsia" w:hAnsiTheme="minorHAnsi"/>
              <w:noProof/>
              <w:kern w:val="0"/>
              <w:sz w:val="22"/>
              <w:szCs w:val="22"/>
              <w:lang w:eastAsia="en-US"/>
            </w:rPr>
          </w:pPr>
          <w:hyperlink w:anchor="_Toc74258625" w:history="1">
            <w:r w:rsidR="00A20AAF" w:rsidRPr="00A20AAF">
              <w:rPr>
                <w:rStyle w:val="Hyperlink"/>
                <w:noProof/>
              </w:rPr>
              <w:t>Observation 6: The current research available to inform the study of stress among cybersecurity professionals does not suffer from a lack of theoretical pluralism</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_Toc74258625 \h </w:instrText>
            </w:r>
            <w:r w:rsidR="00A20AAF" w:rsidRPr="00A20AAF">
              <w:rPr>
                <w:noProof/>
                <w:webHidden/>
              </w:rPr>
            </w:r>
            <w:r w:rsidR="00A20AAF" w:rsidRPr="00A20AAF">
              <w:rPr>
                <w:noProof/>
                <w:webHidden/>
              </w:rPr>
              <w:fldChar w:fldCharType="separate"/>
            </w:r>
            <w:r w:rsidR="00A20AAF" w:rsidRPr="00A20AAF">
              <w:rPr>
                <w:noProof/>
                <w:webHidden/>
              </w:rPr>
              <w:t>35</w:t>
            </w:r>
            <w:r w:rsidR="00A20AAF" w:rsidRPr="00A20AAF">
              <w:rPr>
                <w:noProof/>
                <w:webHidden/>
              </w:rPr>
              <w:fldChar w:fldCharType="end"/>
            </w:r>
          </w:hyperlink>
        </w:p>
        <w:p w14:paraId="69291FD3" w14:textId="1C372B07" w:rsidR="00A20AAF" w:rsidRPr="00A20AAF" w:rsidRDefault="00B46A8E" w:rsidP="00A20AAF">
          <w:pPr>
            <w:pStyle w:val="TOC1"/>
            <w:rPr>
              <w:rFonts w:asciiTheme="minorHAnsi" w:eastAsiaTheme="minorEastAsia" w:hAnsiTheme="minorHAnsi"/>
              <w:kern w:val="0"/>
              <w:sz w:val="22"/>
              <w:szCs w:val="22"/>
              <w:lang w:eastAsia="en-US"/>
            </w:rPr>
          </w:pPr>
          <w:hyperlink w:anchor="_Toc74258626" w:history="1">
            <w:r w:rsidR="00A20AAF" w:rsidRPr="00A20AAF">
              <w:rPr>
                <w:rStyle w:val="Hyperlink"/>
              </w:rPr>
              <w:t>FUTURE RESEARCH OPPORTUNITIES</w:t>
            </w:r>
            <w:r w:rsidR="00A20AAF" w:rsidRPr="00A20AAF">
              <w:rPr>
                <w:webHidden/>
              </w:rPr>
              <w:tab/>
            </w:r>
            <w:r w:rsidR="00A20AAF" w:rsidRPr="00A20AAF">
              <w:rPr>
                <w:webHidden/>
              </w:rPr>
              <w:fldChar w:fldCharType="begin"/>
            </w:r>
            <w:r w:rsidR="00A20AAF" w:rsidRPr="00A20AAF">
              <w:rPr>
                <w:webHidden/>
              </w:rPr>
              <w:instrText xml:space="preserve"> PAGEREF _Toc74258626 \h </w:instrText>
            </w:r>
            <w:r w:rsidR="00A20AAF" w:rsidRPr="00A20AAF">
              <w:rPr>
                <w:webHidden/>
              </w:rPr>
            </w:r>
            <w:r w:rsidR="00A20AAF" w:rsidRPr="00A20AAF">
              <w:rPr>
                <w:webHidden/>
              </w:rPr>
              <w:fldChar w:fldCharType="separate"/>
            </w:r>
            <w:r w:rsidR="00A20AAF" w:rsidRPr="00A20AAF">
              <w:rPr>
                <w:webHidden/>
              </w:rPr>
              <w:t>36</w:t>
            </w:r>
            <w:r w:rsidR="00A20AAF" w:rsidRPr="00A20AAF">
              <w:rPr>
                <w:webHidden/>
              </w:rPr>
              <w:fldChar w:fldCharType="end"/>
            </w:r>
          </w:hyperlink>
        </w:p>
        <w:p w14:paraId="69B6BDE3" w14:textId="039BB539" w:rsidR="00A20AAF" w:rsidRPr="00A20AAF" w:rsidRDefault="00B46A8E">
          <w:pPr>
            <w:pStyle w:val="TOC2"/>
            <w:rPr>
              <w:rFonts w:asciiTheme="minorHAnsi" w:eastAsiaTheme="minorEastAsia" w:hAnsiTheme="minorHAnsi"/>
              <w:noProof/>
              <w:kern w:val="0"/>
              <w:sz w:val="22"/>
              <w:szCs w:val="22"/>
              <w:lang w:eastAsia="en-US"/>
            </w:rPr>
          </w:pPr>
          <w:hyperlink w:anchor="_Toc74258627" w:history="1">
            <w:r w:rsidR="00A20AAF" w:rsidRPr="00A20AAF">
              <w:rPr>
                <w:rStyle w:val="Hyperlink"/>
                <w:noProof/>
              </w:rPr>
              <w:t>Opportunity 1: Cybersecurity scholars should consider security demands from both negative and positive perspectives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_Toc74258627 \h </w:instrText>
            </w:r>
            <w:r w:rsidR="00A20AAF" w:rsidRPr="00A20AAF">
              <w:rPr>
                <w:noProof/>
                <w:webHidden/>
              </w:rPr>
            </w:r>
            <w:r w:rsidR="00A20AAF" w:rsidRPr="00A20AAF">
              <w:rPr>
                <w:noProof/>
                <w:webHidden/>
              </w:rPr>
              <w:fldChar w:fldCharType="separate"/>
            </w:r>
            <w:r w:rsidR="00A20AAF" w:rsidRPr="00A20AAF">
              <w:rPr>
                <w:noProof/>
                <w:webHidden/>
              </w:rPr>
              <w:t>36</w:t>
            </w:r>
            <w:r w:rsidR="00A20AAF" w:rsidRPr="00A20AAF">
              <w:rPr>
                <w:noProof/>
                <w:webHidden/>
              </w:rPr>
              <w:fldChar w:fldCharType="end"/>
            </w:r>
          </w:hyperlink>
        </w:p>
        <w:p w14:paraId="229F9E4F" w14:textId="31725405" w:rsidR="00A20AAF" w:rsidRPr="00A20AAF" w:rsidRDefault="00B46A8E">
          <w:pPr>
            <w:pStyle w:val="TOC2"/>
            <w:rPr>
              <w:rFonts w:asciiTheme="minorHAnsi" w:eastAsiaTheme="minorEastAsia" w:hAnsiTheme="minorHAnsi"/>
              <w:noProof/>
              <w:kern w:val="0"/>
              <w:sz w:val="22"/>
              <w:szCs w:val="22"/>
              <w:lang w:eastAsia="en-US"/>
            </w:rPr>
          </w:pPr>
          <w:hyperlink w:anchor="_Toc74258628" w:history="1">
            <w:r w:rsidR="00A20AAF" w:rsidRPr="00A20AAF">
              <w:rPr>
                <w:rStyle w:val="Hyperlink"/>
                <w:noProof/>
              </w:rPr>
              <w:t>Opportunity 2: Cybersecurity scholars should further explore the appraisal process that cybersecurity professionals follow in assessing security demands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_Toc74258628 \h </w:instrText>
            </w:r>
            <w:r w:rsidR="00A20AAF" w:rsidRPr="00A20AAF">
              <w:rPr>
                <w:noProof/>
                <w:webHidden/>
              </w:rPr>
            </w:r>
            <w:r w:rsidR="00A20AAF" w:rsidRPr="00A20AAF">
              <w:rPr>
                <w:noProof/>
                <w:webHidden/>
              </w:rPr>
              <w:fldChar w:fldCharType="separate"/>
            </w:r>
            <w:r w:rsidR="00A20AAF" w:rsidRPr="00A20AAF">
              <w:rPr>
                <w:noProof/>
                <w:webHidden/>
              </w:rPr>
              <w:t>37</w:t>
            </w:r>
            <w:r w:rsidR="00A20AAF" w:rsidRPr="00A20AAF">
              <w:rPr>
                <w:noProof/>
                <w:webHidden/>
              </w:rPr>
              <w:fldChar w:fldCharType="end"/>
            </w:r>
          </w:hyperlink>
        </w:p>
        <w:p w14:paraId="6089054E" w14:textId="30F35D2D" w:rsidR="00A20AAF" w:rsidRPr="00A20AAF" w:rsidRDefault="00B46A8E">
          <w:pPr>
            <w:pStyle w:val="TOC2"/>
            <w:rPr>
              <w:rFonts w:asciiTheme="minorHAnsi" w:eastAsiaTheme="minorEastAsia" w:hAnsiTheme="minorHAnsi"/>
              <w:noProof/>
              <w:kern w:val="0"/>
              <w:sz w:val="22"/>
              <w:szCs w:val="22"/>
              <w:lang w:eastAsia="en-US"/>
            </w:rPr>
          </w:pPr>
          <w:hyperlink w:anchor="_Toc74258629" w:history="1">
            <w:r w:rsidR="00A20AAF" w:rsidRPr="00A20AAF">
              <w:rPr>
                <w:rStyle w:val="Hyperlink"/>
                <w:noProof/>
              </w:rPr>
              <w:t>Opportunity 3: Cybersecurity scholars should explore the multitude of stress responses that cybersecurity professionals engage in following a demand appraisal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_Toc74258629 \h </w:instrText>
            </w:r>
            <w:r w:rsidR="00A20AAF" w:rsidRPr="00A20AAF">
              <w:rPr>
                <w:noProof/>
                <w:webHidden/>
              </w:rPr>
            </w:r>
            <w:r w:rsidR="00A20AAF" w:rsidRPr="00A20AAF">
              <w:rPr>
                <w:noProof/>
                <w:webHidden/>
              </w:rPr>
              <w:fldChar w:fldCharType="separate"/>
            </w:r>
            <w:r w:rsidR="00A20AAF" w:rsidRPr="00A20AAF">
              <w:rPr>
                <w:noProof/>
                <w:webHidden/>
              </w:rPr>
              <w:t>44</w:t>
            </w:r>
            <w:r w:rsidR="00A20AAF" w:rsidRPr="00A20AAF">
              <w:rPr>
                <w:noProof/>
                <w:webHidden/>
              </w:rPr>
              <w:fldChar w:fldCharType="end"/>
            </w:r>
          </w:hyperlink>
        </w:p>
        <w:p w14:paraId="039D5B8E" w14:textId="7974DB61" w:rsidR="00A20AAF" w:rsidRPr="00A20AAF" w:rsidRDefault="00B46A8E">
          <w:pPr>
            <w:pStyle w:val="TOC2"/>
            <w:rPr>
              <w:rFonts w:asciiTheme="minorHAnsi" w:eastAsiaTheme="minorEastAsia" w:hAnsiTheme="minorHAnsi"/>
              <w:noProof/>
              <w:kern w:val="0"/>
              <w:sz w:val="22"/>
              <w:szCs w:val="22"/>
              <w:lang w:eastAsia="en-US"/>
            </w:rPr>
          </w:pPr>
          <w:hyperlink w:anchor="_Toc74258630" w:history="1">
            <w:r w:rsidR="00A20AAF" w:rsidRPr="00A20AAF">
              <w:rPr>
                <w:rStyle w:val="Hyperlink"/>
                <w:noProof/>
              </w:rPr>
              <w:t>Opportunity 4: Cybersecurity scholars should continue to practice theoretical pluralism in studying stress among cybersecurity professionals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_Toc74258630 \h </w:instrText>
            </w:r>
            <w:r w:rsidR="00A20AAF" w:rsidRPr="00A20AAF">
              <w:rPr>
                <w:noProof/>
                <w:webHidden/>
              </w:rPr>
            </w:r>
            <w:r w:rsidR="00A20AAF" w:rsidRPr="00A20AAF">
              <w:rPr>
                <w:noProof/>
                <w:webHidden/>
              </w:rPr>
              <w:fldChar w:fldCharType="separate"/>
            </w:r>
            <w:r w:rsidR="00A20AAF" w:rsidRPr="00A20AAF">
              <w:rPr>
                <w:noProof/>
                <w:webHidden/>
              </w:rPr>
              <w:t>46</w:t>
            </w:r>
            <w:r w:rsidR="00A20AAF" w:rsidRPr="00A20AAF">
              <w:rPr>
                <w:noProof/>
                <w:webHidden/>
              </w:rPr>
              <w:fldChar w:fldCharType="end"/>
            </w:r>
          </w:hyperlink>
        </w:p>
        <w:p w14:paraId="46CDFE5F" w14:textId="1F693CF5" w:rsidR="00A20AAF" w:rsidRPr="00A20AAF" w:rsidRDefault="00B46A8E" w:rsidP="00A20AAF">
          <w:pPr>
            <w:pStyle w:val="TOC1"/>
            <w:rPr>
              <w:rFonts w:asciiTheme="minorHAnsi" w:eastAsiaTheme="minorEastAsia" w:hAnsiTheme="minorHAnsi"/>
              <w:kern w:val="0"/>
              <w:sz w:val="22"/>
              <w:szCs w:val="22"/>
              <w:lang w:eastAsia="en-US"/>
            </w:rPr>
          </w:pPr>
          <w:hyperlink w:anchor="_Toc74258631" w:history="1">
            <w:r w:rsidR="00A20AAF" w:rsidRPr="00A20AAF">
              <w:rPr>
                <w:rStyle w:val="Hyperlink"/>
              </w:rPr>
              <w:t>DISCUSSION AND CONCLUSION</w:t>
            </w:r>
            <w:r w:rsidR="00A20AAF" w:rsidRPr="00A20AAF">
              <w:rPr>
                <w:webHidden/>
              </w:rPr>
              <w:tab/>
            </w:r>
            <w:r w:rsidR="00A20AAF" w:rsidRPr="00A20AAF">
              <w:rPr>
                <w:webHidden/>
              </w:rPr>
              <w:fldChar w:fldCharType="begin"/>
            </w:r>
            <w:r w:rsidR="00A20AAF" w:rsidRPr="00A20AAF">
              <w:rPr>
                <w:webHidden/>
              </w:rPr>
              <w:instrText xml:space="preserve"> PAGEREF _Toc74258631 \h </w:instrText>
            </w:r>
            <w:r w:rsidR="00A20AAF" w:rsidRPr="00A20AAF">
              <w:rPr>
                <w:webHidden/>
              </w:rPr>
            </w:r>
            <w:r w:rsidR="00A20AAF" w:rsidRPr="00A20AAF">
              <w:rPr>
                <w:webHidden/>
              </w:rPr>
              <w:fldChar w:fldCharType="separate"/>
            </w:r>
            <w:r w:rsidR="00A20AAF" w:rsidRPr="00A20AAF">
              <w:rPr>
                <w:webHidden/>
              </w:rPr>
              <w:t>47</w:t>
            </w:r>
            <w:r w:rsidR="00A20AAF" w:rsidRPr="00A20AAF">
              <w:rPr>
                <w:webHidden/>
              </w:rPr>
              <w:fldChar w:fldCharType="end"/>
            </w:r>
          </w:hyperlink>
        </w:p>
        <w:p w14:paraId="67A46DA8" w14:textId="0DF756D9" w:rsidR="00A20AAF" w:rsidRPr="00A20AAF" w:rsidRDefault="00B46A8E" w:rsidP="00A20AAF">
          <w:pPr>
            <w:pStyle w:val="TOC1"/>
            <w:rPr>
              <w:rFonts w:asciiTheme="minorHAnsi" w:eastAsiaTheme="minorEastAsia" w:hAnsiTheme="minorHAnsi"/>
              <w:kern w:val="0"/>
              <w:sz w:val="22"/>
              <w:szCs w:val="22"/>
              <w:lang w:eastAsia="en-US"/>
            </w:rPr>
          </w:pPr>
          <w:hyperlink w:anchor="_Toc74258632" w:history="1">
            <w:r w:rsidR="00A20AAF" w:rsidRPr="00A20AAF">
              <w:rPr>
                <w:rStyle w:val="Hyperlink"/>
              </w:rPr>
              <w:t>REFERENCES</w:t>
            </w:r>
            <w:r w:rsidR="00A20AAF" w:rsidRPr="00A20AAF">
              <w:rPr>
                <w:webHidden/>
              </w:rPr>
              <w:tab/>
            </w:r>
            <w:r w:rsidR="00A20AAF" w:rsidRPr="00A20AAF">
              <w:rPr>
                <w:webHidden/>
              </w:rPr>
              <w:fldChar w:fldCharType="begin"/>
            </w:r>
            <w:r w:rsidR="00A20AAF" w:rsidRPr="00A20AAF">
              <w:rPr>
                <w:webHidden/>
              </w:rPr>
              <w:instrText xml:space="preserve"> PAGEREF _Toc74258632 \h </w:instrText>
            </w:r>
            <w:r w:rsidR="00A20AAF" w:rsidRPr="00A20AAF">
              <w:rPr>
                <w:webHidden/>
              </w:rPr>
            </w:r>
            <w:r w:rsidR="00A20AAF" w:rsidRPr="00A20AAF">
              <w:rPr>
                <w:webHidden/>
              </w:rPr>
              <w:fldChar w:fldCharType="separate"/>
            </w:r>
            <w:r w:rsidR="00A20AAF" w:rsidRPr="00A20AAF">
              <w:rPr>
                <w:webHidden/>
              </w:rPr>
              <w:t>49</w:t>
            </w:r>
            <w:r w:rsidR="00A20AAF" w:rsidRPr="00A20AAF">
              <w:rPr>
                <w:webHidden/>
              </w:rPr>
              <w:fldChar w:fldCharType="end"/>
            </w:r>
          </w:hyperlink>
        </w:p>
        <w:p w14:paraId="2A0FBC7F" w14:textId="5CCEE24C" w:rsidR="00A20AAF" w:rsidRPr="00A20AAF" w:rsidRDefault="00B46A8E" w:rsidP="00A20AAF">
          <w:pPr>
            <w:pStyle w:val="TOC1"/>
            <w:rPr>
              <w:rFonts w:asciiTheme="minorHAnsi" w:eastAsiaTheme="minorEastAsia" w:hAnsiTheme="minorHAnsi"/>
              <w:kern w:val="0"/>
              <w:sz w:val="22"/>
              <w:szCs w:val="22"/>
              <w:lang w:eastAsia="en-US"/>
            </w:rPr>
          </w:pPr>
          <w:hyperlink w:anchor="_Toc74258633" w:history="1">
            <w:r w:rsidR="00A20AAF" w:rsidRPr="00A20AAF">
              <w:rPr>
                <w:rStyle w:val="Hyperlink"/>
              </w:rPr>
              <w:t>APPENDIX A: CONCEPTUALIZATION OF STRESS, BURNOUT, AND EXHAUSTION</w:t>
            </w:r>
            <w:r w:rsidR="00A20AAF" w:rsidRPr="00A20AAF">
              <w:rPr>
                <w:webHidden/>
              </w:rPr>
              <w:tab/>
            </w:r>
            <w:r w:rsidR="00A20AAF" w:rsidRPr="00A20AAF">
              <w:rPr>
                <w:webHidden/>
              </w:rPr>
              <w:fldChar w:fldCharType="begin"/>
            </w:r>
            <w:r w:rsidR="00A20AAF" w:rsidRPr="00A20AAF">
              <w:rPr>
                <w:webHidden/>
              </w:rPr>
              <w:instrText xml:space="preserve"> PAGEREF _Toc74258633 \h </w:instrText>
            </w:r>
            <w:r w:rsidR="00A20AAF" w:rsidRPr="00A20AAF">
              <w:rPr>
                <w:webHidden/>
              </w:rPr>
            </w:r>
            <w:r w:rsidR="00A20AAF" w:rsidRPr="00A20AAF">
              <w:rPr>
                <w:webHidden/>
              </w:rPr>
              <w:fldChar w:fldCharType="separate"/>
            </w:r>
            <w:r w:rsidR="00A20AAF" w:rsidRPr="00A20AAF">
              <w:rPr>
                <w:webHidden/>
              </w:rPr>
              <w:t>61</w:t>
            </w:r>
            <w:r w:rsidR="00A20AAF" w:rsidRPr="00A20AAF">
              <w:rPr>
                <w:webHidden/>
              </w:rPr>
              <w:fldChar w:fldCharType="end"/>
            </w:r>
          </w:hyperlink>
        </w:p>
        <w:p w14:paraId="38BF0E48" w14:textId="556009C6" w:rsidR="00A20AAF" w:rsidRPr="00A20AAF" w:rsidRDefault="00B46A8E">
          <w:pPr>
            <w:pStyle w:val="TOC2"/>
            <w:rPr>
              <w:rFonts w:asciiTheme="minorHAnsi" w:eastAsiaTheme="minorEastAsia" w:hAnsiTheme="minorHAnsi"/>
              <w:noProof/>
              <w:kern w:val="0"/>
              <w:sz w:val="22"/>
              <w:szCs w:val="22"/>
              <w:lang w:eastAsia="en-US"/>
            </w:rPr>
          </w:pPr>
          <w:hyperlink w:anchor="_Toc74258634" w:history="1">
            <w:r w:rsidR="00A20AAF" w:rsidRPr="00A20AAF">
              <w:rPr>
                <w:rStyle w:val="Hyperlink"/>
                <w:noProof/>
              </w:rPr>
              <w:t>References for Appendix A</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_Toc74258634 \h </w:instrText>
            </w:r>
            <w:r w:rsidR="00A20AAF" w:rsidRPr="00A20AAF">
              <w:rPr>
                <w:noProof/>
                <w:webHidden/>
              </w:rPr>
            </w:r>
            <w:r w:rsidR="00A20AAF" w:rsidRPr="00A20AAF">
              <w:rPr>
                <w:noProof/>
                <w:webHidden/>
              </w:rPr>
              <w:fldChar w:fldCharType="separate"/>
            </w:r>
            <w:r w:rsidR="00A20AAF" w:rsidRPr="00A20AAF">
              <w:rPr>
                <w:noProof/>
                <w:webHidden/>
              </w:rPr>
              <w:t>63</w:t>
            </w:r>
            <w:r w:rsidR="00A20AAF" w:rsidRPr="00A20AAF">
              <w:rPr>
                <w:noProof/>
                <w:webHidden/>
              </w:rPr>
              <w:fldChar w:fldCharType="end"/>
            </w:r>
          </w:hyperlink>
        </w:p>
        <w:p w14:paraId="1493B833" w14:textId="3E391553" w:rsidR="00A20AAF" w:rsidRPr="00A20AAF" w:rsidRDefault="00B46A8E" w:rsidP="00A20AAF">
          <w:pPr>
            <w:pStyle w:val="TOC1"/>
            <w:rPr>
              <w:rFonts w:asciiTheme="minorHAnsi" w:eastAsiaTheme="minorEastAsia" w:hAnsiTheme="minorHAnsi"/>
              <w:kern w:val="0"/>
              <w:sz w:val="22"/>
              <w:szCs w:val="22"/>
              <w:lang w:eastAsia="en-US"/>
            </w:rPr>
          </w:pPr>
          <w:hyperlink w:anchor="_Toc74258635" w:history="1">
            <w:r w:rsidR="00A20AAF" w:rsidRPr="00A20AAF">
              <w:rPr>
                <w:rStyle w:val="Hyperlink"/>
              </w:rPr>
              <w:t>APPENDIX B: ARTICLES EXCLUDED IN THE REVIEW PROCESS</w:t>
            </w:r>
            <w:r w:rsidR="00A20AAF" w:rsidRPr="00A20AAF">
              <w:rPr>
                <w:webHidden/>
              </w:rPr>
              <w:tab/>
            </w:r>
            <w:r w:rsidR="00A20AAF" w:rsidRPr="00A20AAF">
              <w:rPr>
                <w:webHidden/>
              </w:rPr>
              <w:fldChar w:fldCharType="begin"/>
            </w:r>
            <w:r w:rsidR="00A20AAF" w:rsidRPr="00A20AAF">
              <w:rPr>
                <w:webHidden/>
              </w:rPr>
              <w:instrText xml:space="preserve"> PAGEREF _Toc74258635 \h </w:instrText>
            </w:r>
            <w:r w:rsidR="00A20AAF" w:rsidRPr="00A20AAF">
              <w:rPr>
                <w:webHidden/>
              </w:rPr>
            </w:r>
            <w:r w:rsidR="00A20AAF" w:rsidRPr="00A20AAF">
              <w:rPr>
                <w:webHidden/>
              </w:rPr>
              <w:fldChar w:fldCharType="separate"/>
            </w:r>
            <w:r w:rsidR="00A20AAF" w:rsidRPr="00A20AAF">
              <w:rPr>
                <w:webHidden/>
              </w:rPr>
              <w:t>66</w:t>
            </w:r>
            <w:r w:rsidR="00A20AAF" w:rsidRPr="00A20AAF">
              <w:rPr>
                <w:webHidden/>
              </w:rPr>
              <w:fldChar w:fldCharType="end"/>
            </w:r>
          </w:hyperlink>
        </w:p>
        <w:p w14:paraId="020E406B" w14:textId="760548C6" w:rsidR="00A20AAF" w:rsidRPr="00A20AAF" w:rsidRDefault="00B46A8E">
          <w:pPr>
            <w:pStyle w:val="TOC2"/>
            <w:rPr>
              <w:rFonts w:asciiTheme="minorHAnsi" w:eastAsiaTheme="minorEastAsia" w:hAnsiTheme="minorHAnsi"/>
              <w:noProof/>
              <w:kern w:val="0"/>
              <w:sz w:val="22"/>
              <w:szCs w:val="22"/>
              <w:lang w:eastAsia="en-US"/>
            </w:rPr>
          </w:pPr>
          <w:hyperlink w:anchor="_Toc74258636" w:history="1">
            <w:r w:rsidR="00A20AAF" w:rsidRPr="00A20AAF">
              <w:rPr>
                <w:rStyle w:val="Hyperlink"/>
                <w:noProof/>
              </w:rPr>
              <w:t>References for Appendix B</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_Toc74258636 \h </w:instrText>
            </w:r>
            <w:r w:rsidR="00A20AAF" w:rsidRPr="00A20AAF">
              <w:rPr>
                <w:noProof/>
                <w:webHidden/>
              </w:rPr>
            </w:r>
            <w:r w:rsidR="00A20AAF" w:rsidRPr="00A20AAF">
              <w:rPr>
                <w:noProof/>
                <w:webHidden/>
              </w:rPr>
              <w:fldChar w:fldCharType="separate"/>
            </w:r>
            <w:r w:rsidR="00A20AAF" w:rsidRPr="00A20AAF">
              <w:rPr>
                <w:noProof/>
                <w:webHidden/>
              </w:rPr>
              <w:t>72</w:t>
            </w:r>
            <w:r w:rsidR="00A20AAF" w:rsidRPr="00A20AAF">
              <w:rPr>
                <w:noProof/>
                <w:webHidden/>
              </w:rPr>
              <w:fldChar w:fldCharType="end"/>
            </w:r>
          </w:hyperlink>
        </w:p>
        <w:p w14:paraId="77C9EBB6" w14:textId="1E42D159" w:rsidR="00A20AAF" w:rsidRPr="00A20AAF" w:rsidRDefault="00B46A8E" w:rsidP="00A20AAF">
          <w:pPr>
            <w:pStyle w:val="TOC1"/>
            <w:rPr>
              <w:rFonts w:asciiTheme="minorHAnsi" w:eastAsiaTheme="minorEastAsia" w:hAnsiTheme="minorHAnsi"/>
              <w:kern w:val="0"/>
              <w:sz w:val="22"/>
              <w:szCs w:val="22"/>
              <w:lang w:eastAsia="en-US"/>
            </w:rPr>
          </w:pPr>
          <w:hyperlink w:anchor="_Toc74258637" w:history="1">
            <w:r w:rsidR="00A20AAF" w:rsidRPr="00A20AAF">
              <w:rPr>
                <w:rStyle w:val="Hyperlink"/>
              </w:rPr>
              <w:t>APPENDIX C: SUMMARY OF STRESS RESEARCH IN IS</w:t>
            </w:r>
            <w:r w:rsidR="00A20AAF" w:rsidRPr="00A20AAF">
              <w:rPr>
                <w:webHidden/>
              </w:rPr>
              <w:tab/>
            </w:r>
            <w:r w:rsidR="00A20AAF" w:rsidRPr="00A20AAF">
              <w:rPr>
                <w:webHidden/>
              </w:rPr>
              <w:fldChar w:fldCharType="begin"/>
            </w:r>
            <w:r w:rsidR="00A20AAF" w:rsidRPr="00A20AAF">
              <w:rPr>
                <w:webHidden/>
              </w:rPr>
              <w:instrText xml:space="preserve"> PAGEREF _Toc74258637 \h </w:instrText>
            </w:r>
            <w:r w:rsidR="00A20AAF" w:rsidRPr="00A20AAF">
              <w:rPr>
                <w:webHidden/>
              </w:rPr>
            </w:r>
            <w:r w:rsidR="00A20AAF" w:rsidRPr="00A20AAF">
              <w:rPr>
                <w:webHidden/>
              </w:rPr>
              <w:fldChar w:fldCharType="separate"/>
            </w:r>
            <w:r w:rsidR="00A20AAF" w:rsidRPr="00A20AAF">
              <w:rPr>
                <w:webHidden/>
              </w:rPr>
              <w:t>90</w:t>
            </w:r>
            <w:r w:rsidR="00A20AAF" w:rsidRPr="00A20AAF">
              <w:rPr>
                <w:webHidden/>
              </w:rPr>
              <w:fldChar w:fldCharType="end"/>
            </w:r>
          </w:hyperlink>
        </w:p>
        <w:p w14:paraId="186490B8" w14:textId="32395BBE" w:rsidR="00A20AAF" w:rsidRPr="00A20AAF" w:rsidRDefault="00B46A8E">
          <w:pPr>
            <w:pStyle w:val="TOC2"/>
            <w:rPr>
              <w:rFonts w:asciiTheme="minorHAnsi" w:eastAsiaTheme="minorEastAsia" w:hAnsiTheme="minorHAnsi"/>
              <w:noProof/>
              <w:kern w:val="0"/>
              <w:sz w:val="22"/>
              <w:szCs w:val="22"/>
              <w:lang w:eastAsia="en-US"/>
            </w:rPr>
          </w:pPr>
          <w:hyperlink w:anchor="_Toc74258638" w:history="1">
            <w:r w:rsidR="00A20AAF" w:rsidRPr="00A20AAF">
              <w:rPr>
                <w:rStyle w:val="Hyperlink"/>
                <w:noProof/>
              </w:rPr>
              <w:t>References for Appendix C</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_Toc74258638 \h </w:instrText>
            </w:r>
            <w:r w:rsidR="00A20AAF" w:rsidRPr="00A20AAF">
              <w:rPr>
                <w:noProof/>
                <w:webHidden/>
              </w:rPr>
            </w:r>
            <w:r w:rsidR="00A20AAF" w:rsidRPr="00A20AAF">
              <w:rPr>
                <w:noProof/>
                <w:webHidden/>
              </w:rPr>
              <w:fldChar w:fldCharType="separate"/>
            </w:r>
            <w:r w:rsidR="00A20AAF" w:rsidRPr="00A20AAF">
              <w:rPr>
                <w:noProof/>
                <w:webHidden/>
              </w:rPr>
              <w:t>107</w:t>
            </w:r>
            <w:r w:rsidR="00A20AAF" w:rsidRPr="00A20AAF">
              <w:rPr>
                <w:noProof/>
                <w:webHidden/>
              </w:rPr>
              <w:fldChar w:fldCharType="end"/>
            </w:r>
          </w:hyperlink>
        </w:p>
        <w:p w14:paraId="6510A71A" w14:textId="0CB95BF3" w:rsidR="00A20AAF" w:rsidRPr="00A20AAF" w:rsidRDefault="00B46A8E" w:rsidP="00A20AAF">
          <w:pPr>
            <w:pStyle w:val="TOC1"/>
            <w:rPr>
              <w:rFonts w:asciiTheme="minorHAnsi" w:eastAsiaTheme="minorEastAsia" w:hAnsiTheme="minorHAnsi"/>
              <w:kern w:val="0"/>
              <w:sz w:val="22"/>
              <w:szCs w:val="22"/>
              <w:lang w:eastAsia="en-US"/>
            </w:rPr>
          </w:pPr>
          <w:hyperlink w:anchor="_Toc74258639" w:history="1">
            <w:r w:rsidR="00A20AAF" w:rsidRPr="00A20AAF">
              <w:rPr>
                <w:rStyle w:val="Hyperlink"/>
                <w:lang w:eastAsia="en-US"/>
              </w:rPr>
              <w:t>THINKING OUTSIDE THE BOX: A MULTISTAGE DEMAND APPRAISAL MODEL FOR CYBERSECURITY PROFESSIONALS</w:t>
            </w:r>
            <w:r w:rsidR="00A20AAF" w:rsidRPr="00A20AAF">
              <w:rPr>
                <w:webHidden/>
              </w:rPr>
              <w:tab/>
            </w:r>
            <w:r w:rsidR="00A20AAF" w:rsidRPr="00A20AAF">
              <w:rPr>
                <w:webHidden/>
              </w:rPr>
              <w:fldChar w:fldCharType="begin"/>
            </w:r>
            <w:r w:rsidR="00A20AAF" w:rsidRPr="00A20AAF">
              <w:rPr>
                <w:webHidden/>
              </w:rPr>
              <w:instrText xml:space="preserve"> PAGEREF _Toc74258639 \h </w:instrText>
            </w:r>
            <w:r w:rsidR="00A20AAF" w:rsidRPr="00A20AAF">
              <w:rPr>
                <w:webHidden/>
              </w:rPr>
            </w:r>
            <w:r w:rsidR="00A20AAF" w:rsidRPr="00A20AAF">
              <w:rPr>
                <w:webHidden/>
              </w:rPr>
              <w:fldChar w:fldCharType="separate"/>
            </w:r>
            <w:r w:rsidR="00A20AAF" w:rsidRPr="00A20AAF">
              <w:rPr>
                <w:webHidden/>
              </w:rPr>
              <w:t>114</w:t>
            </w:r>
            <w:r w:rsidR="00A20AAF" w:rsidRPr="00A20AAF">
              <w:rPr>
                <w:webHidden/>
              </w:rPr>
              <w:fldChar w:fldCharType="end"/>
            </w:r>
          </w:hyperlink>
        </w:p>
        <w:p w14:paraId="4AE77C7E" w14:textId="585010E6" w:rsidR="00A20AAF" w:rsidRPr="00A20AAF" w:rsidRDefault="00B46A8E" w:rsidP="00A20AAF">
          <w:pPr>
            <w:pStyle w:val="TOC1"/>
            <w:rPr>
              <w:rFonts w:asciiTheme="minorHAnsi" w:eastAsiaTheme="minorEastAsia" w:hAnsiTheme="minorHAnsi"/>
              <w:kern w:val="0"/>
              <w:sz w:val="22"/>
              <w:szCs w:val="22"/>
              <w:lang w:eastAsia="en-US"/>
            </w:rPr>
          </w:pPr>
          <w:hyperlink w:anchor="_Toc74258640" w:history="1">
            <w:r w:rsidR="00A20AAF" w:rsidRPr="00A20AAF">
              <w:rPr>
                <w:rStyle w:val="Hyperlink"/>
                <w:lang w:eastAsia="en-US"/>
              </w:rPr>
              <w:t>THEORETICAL BACKGROUND</w:t>
            </w:r>
            <w:r w:rsidR="00A20AAF" w:rsidRPr="00A20AAF">
              <w:rPr>
                <w:webHidden/>
              </w:rPr>
              <w:tab/>
            </w:r>
            <w:r w:rsidR="00A20AAF" w:rsidRPr="00A20AAF">
              <w:rPr>
                <w:webHidden/>
              </w:rPr>
              <w:fldChar w:fldCharType="begin"/>
            </w:r>
            <w:r w:rsidR="00A20AAF" w:rsidRPr="00A20AAF">
              <w:rPr>
                <w:webHidden/>
              </w:rPr>
              <w:instrText xml:space="preserve"> PAGEREF _Toc74258640 \h </w:instrText>
            </w:r>
            <w:r w:rsidR="00A20AAF" w:rsidRPr="00A20AAF">
              <w:rPr>
                <w:webHidden/>
              </w:rPr>
            </w:r>
            <w:r w:rsidR="00A20AAF" w:rsidRPr="00A20AAF">
              <w:rPr>
                <w:webHidden/>
              </w:rPr>
              <w:fldChar w:fldCharType="separate"/>
            </w:r>
            <w:r w:rsidR="00A20AAF" w:rsidRPr="00A20AAF">
              <w:rPr>
                <w:webHidden/>
              </w:rPr>
              <w:t>117</w:t>
            </w:r>
            <w:r w:rsidR="00A20AAF" w:rsidRPr="00A20AAF">
              <w:rPr>
                <w:webHidden/>
              </w:rPr>
              <w:fldChar w:fldCharType="end"/>
            </w:r>
          </w:hyperlink>
        </w:p>
        <w:p w14:paraId="2D9FC4C4" w14:textId="418B939E" w:rsidR="00A20AAF" w:rsidRPr="00A20AAF" w:rsidRDefault="00B46A8E">
          <w:pPr>
            <w:pStyle w:val="TOC2"/>
            <w:rPr>
              <w:rFonts w:asciiTheme="minorHAnsi" w:eastAsiaTheme="minorEastAsia" w:hAnsiTheme="minorHAnsi"/>
              <w:noProof/>
              <w:kern w:val="0"/>
              <w:sz w:val="22"/>
              <w:szCs w:val="22"/>
              <w:lang w:eastAsia="en-US"/>
            </w:rPr>
          </w:pPr>
          <w:hyperlink w:anchor="_Toc74258641" w:history="1">
            <w:r w:rsidR="00A20AAF" w:rsidRPr="00A20AAF">
              <w:rPr>
                <w:rStyle w:val="Hyperlink"/>
                <w:noProof/>
                <w:lang w:eastAsia="en-US"/>
              </w:rPr>
              <w:t>The Transactional Theory of Stress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_Toc74258641 \h </w:instrText>
            </w:r>
            <w:r w:rsidR="00A20AAF" w:rsidRPr="00A20AAF">
              <w:rPr>
                <w:noProof/>
                <w:webHidden/>
              </w:rPr>
            </w:r>
            <w:r w:rsidR="00A20AAF" w:rsidRPr="00A20AAF">
              <w:rPr>
                <w:noProof/>
                <w:webHidden/>
              </w:rPr>
              <w:fldChar w:fldCharType="separate"/>
            </w:r>
            <w:r w:rsidR="00A20AAF" w:rsidRPr="00A20AAF">
              <w:rPr>
                <w:noProof/>
                <w:webHidden/>
              </w:rPr>
              <w:t>117</w:t>
            </w:r>
            <w:r w:rsidR="00A20AAF" w:rsidRPr="00A20AAF">
              <w:rPr>
                <w:noProof/>
                <w:webHidden/>
              </w:rPr>
              <w:fldChar w:fldCharType="end"/>
            </w:r>
          </w:hyperlink>
        </w:p>
        <w:p w14:paraId="654C689F" w14:textId="287714B3" w:rsidR="00A20AAF" w:rsidRPr="00A20AAF" w:rsidRDefault="00B46A8E" w:rsidP="00A20AAF">
          <w:pPr>
            <w:pStyle w:val="TOC1"/>
            <w:rPr>
              <w:rFonts w:asciiTheme="minorHAnsi" w:eastAsiaTheme="minorEastAsia" w:hAnsiTheme="minorHAnsi"/>
              <w:kern w:val="0"/>
              <w:sz w:val="22"/>
              <w:szCs w:val="22"/>
              <w:lang w:eastAsia="en-US"/>
            </w:rPr>
          </w:pPr>
          <w:hyperlink w:anchor="_Toc74258642" w:history="1">
            <w:r w:rsidR="00A20AAF" w:rsidRPr="00A20AAF">
              <w:rPr>
                <w:rStyle w:val="Hyperlink"/>
                <w:lang w:eastAsia="en-US"/>
              </w:rPr>
              <w:t>THEORIZING THE DEMAND APPRAISAL MODEL</w:t>
            </w:r>
            <w:r w:rsidR="00A20AAF" w:rsidRPr="00A20AAF">
              <w:rPr>
                <w:webHidden/>
              </w:rPr>
              <w:tab/>
            </w:r>
            <w:r w:rsidR="00A20AAF" w:rsidRPr="00A20AAF">
              <w:rPr>
                <w:webHidden/>
              </w:rPr>
              <w:fldChar w:fldCharType="begin"/>
            </w:r>
            <w:r w:rsidR="00A20AAF" w:rsidRPr="00A20AAF">
              <w:rPr>
                <w:webHidden/>
              </w:rPr>
              <w:instrText xml:space="preserve"> PAGEREF _Toc74258642 \h </w:instrText>
            </w:r>
            <w:r w:rsidR="00A20AAF" w:rsidRPr="00A20AAF">
              <w:rPr>
                <w:webHidden/>
              </w:rPr>
            </w:r>
            <w:r w:rsidR="00A20AAF" w:rsidRPr="00A20AAF">
              <w:rPr>
                <w:webHidden/>
              </w:rPr>
              <w:fldChar w:fldCharType="separate"/>
            </w:r>
            <w:r w:rsidR="00A20AAF" w:rsidRPr="00A20AAF">
              <w:rPr>
                <w:webHidden/>
              </w:rPr>
              <w:t>119</w:t>
            </w:r>
            <w:r w:rsidR="00A20AAF" w:rsidRPr="00A20AAF">
              <w:rPr>
                <w:webHidden/>
              </w:rPr>
              <w:fldChar w:fldCharType="end"/>
            </w:r>
          </w:hyperlink>
        </w:p>
        <w:p w14:paraId="3F56784C" w14:textId="0A607617" w:rsidR="00A20AAF" w:rsidRPr="00A20AAF" w:rsidRDefault="00B46A8E">
          <w:pPr>
            <w:pStyle w:val="TOC2"/>
            <w:rPr>
              <w:rFonts w:asciiTheme="minorHAnsi" w:eastAsiaTheme="minorEastAsia" w:hAnsiTheme="minorHAnsi"/>
              <w:noProof/>
              <w:kern w:val="0"/>
              <w:sz w:val="22"/>
              <w:szCs w:val="22"/>
              <w:lang w:eastAsia="en-US"/>
            </w:rPr>
          </w:pPr>
          <w:hyperlink w:anchor="_Toc74258643" w:history="1">
            <w:r w:rsidR="00A20AAF" w:rsidRPr="00A20AAF">
              <w:rPr>
                <w:rStyle w:val="Hyperlink"/>
                <w:noProof/>
                <w:lang w:eastAsia="en-US"/>
              </w:rPr>
              <w:t>Stage I: Demand Relevance</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_Toc74258643 \h </w:instrText>
            </w:r>
            <w:r w:rsidR="00A20AAF" w:rsidRPr="00A20AAF">
              <w:rPr>
                <w:noProof/>
                <w:webHidden/>
              </w:rPr>
            </w:r>
            <w:r w:rsidR="00A20AAF" w:rsidRPr="00A20AAF">
              <w:rPr>
                <w:noProof/>
                <w:webHidden/>
              </w:rPr>
              <w:fldChar w:fldCharType="separate"/>
            </w:r>
            <w:r w:rsidR="00A20AAF" w:rsidRPr="00A20AAF">
              <w:rPr>
                <w:noProof/>
                <w:webHidden/>
              </w:rPr>
              <w:t>121</w:t>
            </w:r>
            <w:r w:rsidR="00A20AAF" w:rsidRPr="00A20AAF">
              <w:rPr>
                <w:noProof/>
                <w:webHidden/>
              </w:rPr>
              <w:fldChar w:fldCharType="end"/>
            </w:r>
          </w:hyperlink>
        </w:p>
        <w:p w14:paraId="7351E1F5" w14:textId="76404F36" w:rsidR="00A20AAF" w:rsidRPr="00A20AAF" w:rsidRDefault="00B46A8E">
          <w:pPr>
            <w:pStyle w:val="TOC2"/>
            <w:rPr>
              <w:rFonts w:asciiTheme="minorHAnsi" w:eastAsiaTheme="minorEastAsia" w:hAnsiTheme="minorHAnsi"/>
              <w:noProof/>
              <w:kern w:val="0"/>
              <w:sz w:val="22"/>
              <w:szCs w:val="22"/>
              <w:lang w:eastAsia="en-US"/>
            </w:rPr>
          </w:pPr>
          <w:hyperlink w:anchor="_Toc74258644" w:history="1">
            <w:r w:rsidR="00A20AAF" w:rsidRPr="00A20AAF">
              <w:rPr>
                <w:rStyle w:val="Hyperlink"/>
                <w:noProof/>
                <w:lang w:eastAsia="en-US"/>
              </w:rPr>
              <w:t>Stage II: Classification of Stress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_Toc74258644 \h </w:instrText>
            </w:r>
            <w:r w:rsidR="00A20AAF" w:rsidRPr="00A20AAF">
              <w:rPr>
                <w:noProof/>
                <w:webHidden/>
              </w:rPr>
            </w:r>
            <w:r w:rsidR="00A20AAF" w:rsidRPr="00A20AAF">
              <w:rPr>
                <w:noProof/>
                <w:webHidden/>
              </w:rPr>
              <w:fldChar w:fldCharType="separate"/>
            </w:r>
            <w:r w:rsidR="00A20AAF" w:rsidRPr="00A20AAF">
              <w:rPr>
                <w:noProof/>
                <w:webHidden/>
              </w:rPr>
              <w:t>122</w:t>
            </w:r>
            <w:r w:rsidR="00A20AAF" w:rsidRPr="00A20AAF">
              <w:rPr>
                <w:noProof/>
                <w:webHidden/>
              </w:rPr>
              <w:fldChar w:fldCharType="end"/>
            </w:r>
          </w:hyperlink>
        </w:p>
        <w:p w14:paraId="275678DB" w14:textId="06B1D9BF" w:rsidR="00A20AAF" w:rsidRPr="00A20AAF" w:rsidRDefault="00B46A8E">
          <w:pPr>
            <w:pStyle w:val="TOC2"/>
            <w:rPr>
              <w:rFonts w:asciiTheme="minorHAnsi" w:eastAsiaTheme="minorEastAsia" w:hAnsiTheme="minorHAnsi"/>
              <w:noProof/>
              <w:kern w:val="0"/>
              <w:sz w:val="22"/>
              <w:szCs w:val="22"/>
              <w:lang w:eastAsia="en-US"/>
            </w:rPr>
          </w:pPr>
          <w:hyperlink w:anchor="_Toc74258645" w:history="1">
            <w:r w:rsidR="00A20AAF" w:rsidRPr="00A20AAF">
              <w:rPr>
                <w:rStyle w:val="Hyperlink"/>
                <w:noProof/>
                <w:lang w:eastAsia="en-US"/>
              </w:rPr>
              <w:t>Stage III: Utilization of Stress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_Toc74258645 \h </w:instrText>
            </w:r>
            <w:r w:rsidR="00A20AAF" w:rsidRPr="00A20AAF">
              <w:rPr>
                <w:noProof/>
                <w:webHidden/>
              </w:rPr>
            </w:r>
            <w:r w:rsidR="00A20AAF" w:rsidRPr="00A20AAF">
              <w:rPr>
                <w:noProof/>
                <w:webHidden/>
              </w:rPr>
              <w:fldChar w:fldCharType="separate"/>
            </w:r>
            <w:r w:rsidR="00A20AAF" w:rsidRPr="00A20AAF">
              <w:rPr>
                <w:noProof/>
                <w:webHidden/>
              </w:rPr>
              <w:t>123</w:t>
            </w:r>
            <w:r w:rsidR="00A20AAF" w:rsidRPr="00A20AAF">
              <w:rPr>
                <w:noProof/>
                <w:webHidden/>
              </w:rPr>
              <w:fldChar w:fldCharType="end"/>
            </w:r>
          </w:hyperlink>
        </w:p>
        <w:p w14:paraId="3B671EFC" w14:textId="380C6091" w:rsidR="00A20AAF" w:rsidRPr="00A20AAF" w:rsidRDefault="00B46A8E" w:rsidP="00A20AAF">
          <w:pPr>
            <w:pStyle w:val="TOC1"/>
            <w:rPr>
              <w:rFonts w:asciiTheme="minorHAnsi" w:eastAsiaTheme="minorEastAsia" w:hAnsiTheme="minorHAnsi"/>
              <w:kern w:val="0"/>
              <w:sz w:val="22"/>
              <w:szCs w:val="22"/>
              <w:lang w:eastAsia="en-US"/>
            </w:rPr>
          </w:pPr>
          <w:hyperlink w:anchor="_Toc74258646" w:history="1">
            <w:r w:rsidR="00A20AAF" w:rsidRPr="00A20AAF">
              <w:rPr>
                <w:rStyle w:val="Hyperlink"/>
                <w:lang w:eastAsia="en-US"/>
              </w:rPr>
              <w:t>MIXED METHODS RESEARCH DESIGN</w:t>
            </w:r>
            <w:r w:rsidR="00A20AAF" w:rsidRPr="00A20AAF">
              <w:rPr>
                <w:webHidden/>
              </w:rPr>
              <w:tab/>
            </w:r>
            <w:r w:rsidR="00A20AAF" w:rsidRPr="00A20AAF">
              <w:rPr>
                <w:webHidden/>
              </w:rPr>
              <w:fldChar w:fldCharType="begin"/>
            </w:r>
            <w:r w:rsidR="00A20AAF" w:rsidRPr="00A20AAF">
              <w:rPr>
                <w:webHidden/>
              </w:rPr>
              <w:instrText xml:space="preserve"> PAGEREF _Toc74258646 \h </w:instrText>
            </w:r>
            <w:r w:rsidR="00A20AAF" w:rsidRPr="00A20AAF">
              <w:rPr>
                <w:webHidden/>
              </w:rPr>
            </w:r>
            <w:r w:rsidR="00A20AAF" w:rsidRPr="00A20AAF">
              <w:rPr>
                <w:webHidden/>
              </w:rPr>
              <w:fldChar w:fldCharType="separate"/>
            </w:r>
            <w:r w:rsidR="00A20AAF" w:rsidRPr="00A20AAF">
              <w:rPr>
                <w:webHidden/>
              </w:rPr>
              <w:t>126</w:t>
            </w:r>
            <w:r w:rsidR="00A20AAF" w:rsidRPr="00A20AAF">
              <w:rPr>
                <w:webHidden/>
              </w:rPr>
              <w:fldChar w:fldCharType="end"/>
            </w:r>
          </w:hyperlink>
        </w:p>
        <w:p w14:paraId="7E1C7093" w14:textId="7EFE3010" w:rsidR="00A20AAF" w:rsidRPr="00A20AAF" w:rsidRDefault="00B46A8E" w:rsidP="00A20AAF">
          <w:pPr>
            <w:pStyle w:val="TOC1"/>
            <w:rPr>
              <w:rFonts w:asciiTheme="minorHAnsi" w:eastAsiaTheme="minorEastAsia" w:hAnsiTheme="minorHAnsi"/>
              <w:kern w:val="0"/>
              <w:sz w:val="22"/>
              <w:szCs w:val="22"/>
              <w:lang w:eastAsia="en-US"/>
            </w:rPr>
          </w:pPr>
          <w:hyperlink w:anchor="_Toc74258647" w:history="1">
            <w:r w:rsidR="00A20AAF" w:rsidRPr="00A20AAF">
              <w:rPr>
                <w:rStyle w:val="Hyperlink"/>
                <w:lang w:eastAsia="en-US"/>
              </w:rPr>
              <w:t>QUALITATIVE STUDY</w:t>
            </w:r>
            <w:r w:rsidR="00A20AAF" w:rsidRPr="00A20AAF">
              <w:rPr>
                <w:webHidden/>
              </w:rPr>
              <w:tab/>
            </w:r>
            <w:r w:rsidR="00A20AAF" w:rsidRPr="00A20AAF">
              <w:rPr>
                <w:webHidden/>
              </w:rPr>
              <w:fldChar w:fldCharType="begin"/>
            </w:r>
            <w:r w:rsidR="00A20AAF" w:rsidRPr="00A20AAF">
              <w:rPr>
                <w:webHidden/>
              </w:rPr>
              <w:instrText xml:space="preserve"> PAGEREF _Toc74258647 \h </w:instrText>
            </w:r>
            <w:r w:rsidR="00A20AAF" w:rsidRPr="00A20AAF">
              <w:rPr>
                <w:webHidden/>
              </w:rPr>
            </w:r>
            <w:r w:rsidR="00A20AAF" w:rsidRPr="00A20AAF">
              <w:rPr>
                <w:webHidden/>
              </w:rPr>
              <w:fldChar w:fldCharType="separate"/>
            </w:r>
            <w:r w:rsidR="00A20AAF" w:rsidRPr="00A20AAF">
              <w:rPr>
                <w:webHidden/>
              </w:rPr>
              <w:t>127</w:t>
            </w:r>
            <w:r w:rsidR="00A20AAF" w:rsidRPr="00A20AAF">
              <w:rPr>
                <w:webHidden/>
              </w:rPr>
              <w:fldChar w:fldCharType="end"/>
            </w:r>
          </w:hyperlink>
        </w:p>
        <w:p w14:paraId="2417BF19" w14:textId="0C9E9F31" w:rsidR="00A20AAF" w:rsidRPr="00A20AAF" w:rsidRDefault="00B46A8E">
          <w:pPr>
            <w:pStyle w:val="TOC2"/>
            <w:rPr>
              <w:rFonts w:asciiTheme="minorHAnsi" w:eastAsiaTheme="minorEastAsia" w:hAnsiTheme="minorHAnsi"/>
              <w:noProof/>
              <w:kern w:val="0"/>
              <w:sz w:val="22"/>
              <w:szCs w:val="22"/>
              <w:lang w:eastAsia="en-US"/>
            </w:rPr>
          </w:pPr>
          <w:hyperlink w:anchor="_Toc74258648" w:history="1">
            <w:r w:rsidR="00A20AAF" w:rsidRPr="00A20AAF">
              <w:rPr>
                <w:rStyle w:val="Hyperlink"/>
                <w:noProof/>
                <w:lang w:eastAsia="en-US"/>
              </w:rPr>
              <w:t>Data Collection</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_Toc74258648 \h </w:instrText>
            </w:r>
            <w:r w:rsidR="00A20AAF" w:rsidRPr="00A20AAF">
              <w:rPr>
                <w:noProof/>
                <w:webHidden/>
              </w:rPr>
            </w:r>
            <w:r w:rsidR="00A20AAF" w:rsidRPr="00A20AAF">
              <w:rPr>
                <w:noProof/>
                <w:webHidden/>
              </w:rPr>
              <w:fldChar w:fldCharType="separate"/>
            </w:r>
            <w:r w:rsidR="00A20AAF" w:rsidRPr="00A20AAF">
              <w:rPr>
                <w:noProof/>
                <w:webHidden/>
              </w:rPr>
              <w:t>128</w:t>
            </w:r>
            <w:r w:rsidR="00A20AAF" w:rsidRPr="00A20AAF">
              <w:rPr>
                <w:noProof/>
                <w:webHidden/>
              </w:rPr>
              <w:fldChar w:fldCharType="end"/>
            </w:r>
          </w:hyperlink>
        </w:p>
        <w:p w14:paraId="3E0AFA20" w14:textId="7840A18B" w:rsidR="00A20AAF" w:rsidRPr="00A20AAF" w:rsidRDefault="00B46A8E">
          <w:pPr>
            <w:pStyle w:val="TOC2"/>
            <w:rPr>
              <w:rFonts w:asciiTheme="minorHAnsi" w:eastAsiaTheme="minorEastAsia" w:hAnsiTheme="minorHAnsi"/>
              <w:noProof/>
              <w:kern w:val="0"/>
              <w:sz w:val="22"/>
              <w:szCs w:val="22"/>
              <w:lang w:eastAsia="en-US"/>
            </w:rPr>
          </w:pPr>
          <w:hyperlink w:anchor="_Toc74258649" w:history="1">
            <w:r w:rsidR="00A20AAF" w:rsidRPr="00A20AAF">
              <w:rPr>
                <w:rStyle w:val="Hyperlink"/>
                <w:noProof/>
                <w:lang w:eastAsia="en-US"/>
              </w:rPr>
              <w:t>Data Analysis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_Toc74258649 \h </w:instrText>
            </w:r>
            <w:r w:rsidR="00A20AAF" w:rsidRPr="00A20AAF">
              <w:rPr>
                <w:noProof/>
                <w:webHidden/>
              </w:rPr>
            </w:r>
            <w:r w:rsidR="00A20AAF" w:rsidRPr="00A20AAF">
              <w:rPr>
                <w:noProof/>
                <w:webHidden/>
              </w:rPr>
              <w:fldChar w:fldCharType="separate"/>
            </w:r>
            <w:r w:rsidR="00A20AAF" w:rsidRPr="00A20AAF">
              <w:rPr>
                <w:noProof/>
                <w:webHidden/>
              </w:rPr>
              <w:t>129</w:t>
            </w:r>
            <w:r w:rsidR="00A20AAF" w:rsidRPr="00A20AAF">
              <w:rPr>
                <w:noProof/>
                <w:webHidden/>
              </w:rPr>
              <w:fldChar w:fldCharType="end"/>
            </w:r>
          </w:hyperlink>
        </w:p>
        <w:p w14:paraId="462A6183" w14:textId="571F0C72" w:rsidR="00A20AAF" w:rsidRPr="00A20AAF" w:rsidRDefault="00B46A8E" w:rsidP="00A20AAF">
          <w:pPr>
            <w:pStyle w:val="TOC1"/>
            <w:rPr>
              <w:rFonts w:asciiTheme="minorHAnsi" w:eastAsiaTheme="minorEastAsia" w:hAnsiTheme="minorHAnsi"/>
              <w:kern w:val="0"/>
              <w:sz w:val="22"/>
              <w:szCs w:val="22"/>
              <w:lang w:eastAsia="en-US"/>
            </w:rPr>
          </w:pPr>
          <w:hyperlink w:anchor="_Toc74258650" w:history="1">
            <w:r w:rsidR="00A20AAF" w:rsidRPr="00A20AAF">
              <w:rPr>
                <w:rStyle w:val="Hyperlink"/>
                <w:lang w:eastAsia="en-US"/>
              </w:rPr>
              <w:t>RESULTS OF THE QUALITATIVE STUDY</w:t>
            </w:r>
            <w:r w:rsidR="00A20AAF" w:rsidRPr="00A20AAF">
              <w:rPr>
                <w:webHidden/>
              </w:rPr>
              <w:tab/>
            </w:r>
            <w:r w:rsidR="00A20AAF" w:rsidRPr="00A20AAF">
              <w:rPr>
                <w:webHidden/>
              </w:rPr>
              <w:fldChar w:fldCharType="begin"/>
            </w:r>
            <w:r w:rsidR="00A20AAF" w:rsidRPr="00A20AAF">
              <w:rPr>
                <w:webHidden/>
              </w:rPr>
              <w:instrText xml:space="preserve"> PAGEREF _Toc74258650 \h </w:instrText>
            </w:r>
            <w:r w:rsidR="00A20AAF" w:rsidRPr="00A20AAF">
              <w:rPr>
                <w:webHidden/>
              </w:rPr>
            </w:r>
            <w:r w:rsidR="00A20AAF" w:rsidRPr="00A20AAF">
              <w:rPr>
                <w:webHidden/>
              </w:rPr>
              <w:fldChar w:fldCharType="separate"/>
            </w:r>
            <w:r w:rsidR="00A20AAF" w:rsidRPr="00A20AAF">
              <w:rPr>
                <w:webHidden/>
              </w:rPr>
              <w:t>130</w:t>
            </w:r>
            <w:r w:rsidR="00A20AAF" w:rsidRPr="00A20AAF">
              <w:rPr>
                <w:webHidden/>
              </w:rPr>
              <w:fldChar w:fldCharType="end"/>
            </w:r>
          </w:hyperlink>
        </w:p>
        <w:p w14:paraId="62EBA7CB" w14:textId="66A4D28F" w:rsidR="00A20AAF" w:rsidRPr="00A20AAF" w:rsidRDefault="00B46A8E">
          <w:pPr>
            <w:pStyle w:val="TOC2"/>
            <w:rPr>
              <w:rFonts w:asciiTheme="minorHAnsi" w:eastAsiaTheme="minorEastAsia" w:hAnsiTheme="minorHAnsi"/>
              <w:noProof/>
              <w:kern w:val="0"/>
              <w:sz w:val="22"/>
              <w:szCs w:val="22"/>
              <w:lang w:eastAsia="en-US"/>
            </w:rPr>
          </w:pPr>
          <w:hyperlink w:anchor="_Toc74258651" w:history="1">
            <w:r w:rsidR="00A20AAF" w:rsidRPr="00A20AAF">
              <w:rPr>
                <w:rStyle w:val="Hyperlink"/>
                <w:noProof/>
              </w:rPr>
              <w:t>Stage I: Demand Relevance</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_Toc74258651 \h </w:instrText>
            </w:r>
            <w:r w:rsidR="00A20AAF" w:rsidRPr="00A20AAF">
              <w:rPr>
                <w:noProof/>
                <w:webHidden/>
              </w:rPr>
            </w:r>
            <w:r w:rsidR="00A20AAF" w:rsidRPr="00A20AAF">
              <w:rPr>
                <w:noProof/>
                <w:webHidden/>
              </w:rPr>
              <w:fldChar w:fldCharType="separate"/>
            </w:r>
            <w:r w:rsidR="00A20AAF" w:rsidRPr="00A20AAF">
              <w:rPr>
                <w:noProof/>
                <w:webHidden/>
              </w:rPr>
              <w:t>130</w:t>
            </w:r>
            <w:r w:rsidR="00A20AAF" w:rsidRPr="00A20AAF">
              <w:rPr>
                <w:noProof/>
                <w:webHidden/>
              </w:rPr>
              <w:fldChar w:fldCharType="end"/>
            </w:r>
          </w:hyperlink>
        </w:p>
        <w:p w14:paraId="05910259" w14:textId="7F4C996E" w:rsidR="00A20AAF" w:rsidRPr="00A20AAF" w:rsidRDefault="00B46A8E">
          <w:pPr>
            <w:pStyle w:val="TOC2"/>
            <w:rPr>
              <w:rFonts w:asciiTheme="minorHAnsi" w:eastAsiaTheme="minorEastAsia" w:hAnsiTheme="minorHAnsi"/>
              <w:noProof/>
              <w:kern w:val="0"/>
              <w:sz w:val="22"/>
              <w:szCs w:val="22"/>
              <w:lang w:eastAsia="en-US"/>
            </w:rPr>
          </w:pPr>
          <w:hyperlink w:anchor="_Toc74258652" w:history="1">
            <w:r w:rsidR="00A20AAF" w:rsidRPr="00A20AAF">
              <w:rPr>
                <w:rStyle w:val="Hyperlink"/>
                <w:noProof/>
                <w:lang w:eastAsia="en-US"/>
              </w:rPr>
              <w:t>Stage II: Classification of Stress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_Toc74258652 \h </w:instrText>
            </w:r>
            <w:r w:rsidR="00A20AAF" w:rsidRPr="00A20AAF">
              <w:rPr>
                <w:noProof/>
                <w:webHidden/>
              </w:rPr>
            </w:r>
            <w:r w:rsidR="00A20AAF" w:rsidRPr="00A20AAF">
              <w:rPr>
                <w:noProof/>
                <w:webHidden/>
              </w:rPr>
              <w:fldChar w:fldCharType="separate"/>
            </w:r>
            <w:r w:rsidR="00A20AAF" w:rsidRPr="00A20AAF">
              <w:rPr>
                <w:noProof/>
                <w:webHidden/>
              </w:rPr>
              <w:t>135</w:t>
            </w:r>
            <w:r w:rsidR="00A20AAF" w:rsidRPr="00A20AAF">
              <w:rPr>
                <w:noProof/>
                <w:webHidden/>
              </w:rPr>
              <w:fldChar w:fldCharType="end"/>
            </w:r>
          </w:hyperlink>
        </w:p>
        <w:p w14:paraId="2713BD84" w14:textId="640B2CA5" w:rsidR="00A20AAF" w:rsidRPr="00A20AAF" w:rsidRDefault="00B46A8E">
          <w:pPr>
            <w:pStyle w:val="TOC2"/>
            <w:rPr>
              <w:rFonts w:asciiTheme="minorHAnsi" w:eastAsiaTheme="minorEastAsia" w:hAnsiTheme="minorHAnsi"/>
              <w:noProof/>
              <w:kern w:val="0"/>
              <w:sz w:val="22"/>
              <w:szCs w:val="22"/>
              <w:lang w:eastAsia="en-US"/>
            </w:rPr>
          </w:pPr>
          <w:hyperlink w:anchor="_Toc74258653" w:history="1">
            <w:r w:rsidR="00A20AAF" w:rsidRPr="00A20AAF">
              <w:rPr>
                <w:rStyle w:val="Hyperlink"/>
                <w:noProof/>
                <w:lang w:eastAsia="en-US"/>
              </w:rPr>
              <w:t>Stage III: Utilization of Stress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_Toc74258653 \h </w:instrText>
            </w:r>
            <w:r w:rsidR="00A20AAF" w:rsidRPr="00A20AAF">
              <w:rPr>
                <w:noProof/>
                <w:webHidden/>
              </w:rPr>
            </w:r>
            <w:r w:rsidR="00A20AAF" w:rsidRPr="00A20AAF">
              <w:rPr>
                <w:noProof/>
                <w:webHidden/>
              </w:rPr>
              <w:fldChar w:fldCharType="separate"/>
            </w:r>
            <w:r w:rsidR="00A20AAF" w:rsidRPr="00A20AAF">
              <w:rPr>
                <w:noProof/>
                <w:webHidden/>
              </w:rPr>
              <w:t>137</w:t>
            </w:r>
            <w:r w:rsidR="00A20AAF" w:rsidRPr="00A20AAF">
              <w:rPr>
                <w:noProof/>
                <w:webHidden/>
              </w:rPr>
              <w:fldChar w:fldCharType="end"/>
            </w:r>
          </w:hyperlink>
        </w:p>
        <w:p w14:paraId="3B5A38BC" w14:textId="720B67C6" w:rsidR="00A20AAF" w:rsidRPr="00A20AAF" w:rsidRDefault="00B46A8E" w:rsidP="00A20AAF">
          <w:pPr>
            <w:pStyle w:val="TOC1"/>
            <w:rPr>
              <w:rFonts w:asciiTheme="minorHAnsi" w:eastAsiaTheme="minorEastAsia" w:hAnsiTheme="minorHAnsi"/>
              <w:kern w:val="0"/>
              <w:sz w:val="22"/>
              <w:szCs w:val="22"/>
              <w:lang w:eastAsia="en-US"/>
            </w:rPr>
          </w:pPr>
          <w:hyperlink w:anchor="_Toc74258654" w:history="1">
            <w:r w:rsidR="00A20AAF" w:rsidRPr="00A20AAF">
              <w:rPr>
                <w:rStyle w:val="Hyperlink"/>
                <w:lang w:eastAsia="en-US"/>
              </w:rPr>
              <w:t>QUANTITATIVE STUDY</w:t>
            </w:r>
            <w:r w:rsidR="00A20AAF" w:rsidRPr="00A20AAF">
              <w:rPr>
                <w:webHidden/>
              </w:rPr>
              <w:tab/>
            </w:r>
            <w:r w:rsidR="00A20AAF" w:rsidRPr="00A20AAF">
              <w:rPr>
                <w:webHidden/>
              </w:rPr>
              <w:fldChar w:fldCharType="begin"/>
            </w:r>
            <w:r w:rsidR="00A20AAF" w:rsidRPr="00A20AAF">
              <w:rPr>
                <w:webHidden/>
              </w:rPr>
              <w:instrText xml:space="preserve"> PAGEREF _Toc74258654 \h </w:instrText>
            </w:r>
            <w:r w:rsidR="00A20AAF" w:rsidRPr="00A20AAF">
              <w:rPr>
                <w:webHidden/>
              </w:rPr>
            </w:r>
            <w:r w:rsidR="00A20AAF" w:rsidRPr="00A20AAF">
              <w:rPr>
                <w:webHidden/>
              </w:rPr>
              <w:fldChar w:fldCharType="separate"/>
            </w:r>
            <w:r w:rsidR="00A20AAF" w:rsidRPr="00A20AAF">
              <w:rPr>
                <w:webHidden/>
              </w:rPr>
              <w:t>140</w:t>
            </w:r>
            <w:r w:rsidR="00A20AAF" w:rsidRPr="00A20AAF">
              <w:rPr>
                <w:webHidden/>
              </w:rPr>
              <w:fldChar w:fldCharType="end"/>
            </w:r>
          </w:hyperlink>
        </w:p>
        <w:p w14:paraId="0F3F5E97" w14:textId="36D8CD74" w:rsidR="00A20AAF" w:rsidRPr="00A20AAF" w:rsidRDefault="00B46A8E">
          <w:pPr>
            <w:pStyle w:val="TOC2"/>
            <w:rPr>
              <w:rFonts w:asciiTheme="minorHAnsi" w:eastAsiaTheme="minorEastAsia" w:hAnsiTheme="minorHAnsi"/>
              <w:noProof/>
              <w:kern w:val="0"/>
              <w:sz w:val="22"/>
              <w:szCs w:val="22"/>
              <w:lang w:eastAsia="en-US"/>
            </w:rPr>
          </w:pPr>
          <w:hyperlink w:anchor="_Toc74258655" w:history="1">
            <w:r w:rsidR="00A20AAF" w:rsidRPr="00A20AAF">
              <w:rPr>
                <w:rStyle w:val="Hyperlink"/>
                <w:noProof/>
                <w:lang w:eastAsia="en-US"/>
              </w:rPr>
              <w:t>Survey Design</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_Toc74258655 \h </w:instrText>
            </w:r>
            <w:r w:rsidR="00A20AAF" w:rsidRPr="00A20AAF">
              <w:rPr>
                <w:noProof/>
                <w:webHidden/>
              </w:rPr>
            </w:r>
            <w:r w:rsidR="00A20AAF" w:rsidRPr="00A20AAF">
              <w:rPr>
                <w:noProof/>
                <w:webHidden/>
              </w:rPr>
              <w:fldChar w:fldCharType="separate"/>
            </w:r>
            <w:r w:rsidR="00A20AAF" w:rsidRPr="00A20AAF">
              <w:rPr>
                <w:noProof/>
                <w:webHidden/>
              </w:rPr>
              <w:t>140</w:t>
            </w:r>
            <w:r w:rsidR="00A20AAF" w:rsidRPr="00A20AAF">
              <w:rPr>
                <w:noProof/>
                <w:webHidden/>
              </w:rPr>
              <w:fldChar w:fldCharType="end"/>
            </w:r>
          </w:hyperlink>
        </w:p>
        <w:p w14:paraId="0D1C759D" w14:textId="60CA6A17" w:rsidR="00A20AAF" w:rsidRPr="00A20AAF" w:rsidRDefault="00B46A8E">
          <w:pPr>
            <w:pStyle w:val="TOC2"/>
            <w:rPr>
              <w:rFonts w:asciiTheme="minorHAnsi" w:eastAsiaTheme="minorEastAsia" w:hAnsiTheme="minorHAnsi"/>
              <w:noProof/>
              <w:kern w:val="0"/>
              <w:sz w:val="22"/>
              <w:szCs w:val="22"/>
              <w:lang w:eastAsia="en-US"/>
            </w:rPr>
          </w:pPr>
          <w:hyperlink w:anchor="_Toc74258656" w:history="1">
            <w:r w:rsidR="00A20AAF" w:rsidRPr="00A20AAF">
              <w:rPr>
                <w:rStyle w:val="Hyperlink"/>
                <w:noProof/>
                <w:lang w:eastAsia="en-US"/>
              </w:rPr>
              <w:t>Data Collection and Sample Characteristics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_Toc74258656 \h </w:instrText>
            </w:r>
            <w:r w:rsidR="00A20AAF" w:rsidRPr="00A20AAF">
              <w:rPr>
                <w:noProof/>
                <w:webHidden/>
              </w:rPr>
            </w:r>
            <w:r w:rsidR="00A20AAF" w:rsidRPr="00A20AAF">
              <w:rPr>
                <w:noProof/>
                <w:webHidden/>
              </w:rPr>
              <w:fldChar w:fldCharType="separate"/>
            </w:r>
            <w:r w:rsidR="00A20AAF" w:rsidRPr="00A20AAF">
              <w:rPr>
                <w:noProof/>
                <w:webHidden/>
              </w:rPr>
              <w:t>141</w:t>
            </w:r>
            <w:r w:rsidR="00A20AAF" w:rsidRPr="00A20AAF">
              <w:rPr>
                <w:noProof/>
                <w:webHidden/>
              </w:rPr>
              <w:fldChar w:fldCharType="end"/>
            </w:r>
          </w:hyperlink>
        </w:p>
        <w:p w14:paraId="17D8C8B3" w14:textId="6379ED36" w:rsidR="00A20AAF" w:rsidRPr="00A20AAF" w:rsidRDefault="00B46A8E">
          <w:pPr>
            <w:pStyle w:val="TOC2"/>
            <w:rPr>
              <w:rFonts w:asciiTheme="minorHAnsi" w:eastAsiaTheme="minorEastAsia" w:hAnsiTheme="minorHAnsi"/>
              <w:noProof/>
              <w:kern w:val="0"/>
              <w:sz w:val="22"/>
              <w:szCs w:val="22"/>
              <w:lang w:eastAsia="en-US"/>
            </w:rPr>
          </w:pPr>
          <w:hyperlink w:anchor="_Toc74258657" w:history="1">
            <w:r w:rsidR="00A20AAF" w:rsidRPr="00A20AAF">
              <w:rPr>
                <w:rStyle w:val="Hyperlink"/>
                <w:noProof/>
                <w:lang w:eastAsia="en-US"/>
              </w:rPr>
              <w:t>Common Method Bias (CMB)</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_Toc74258657 \h </w:instrText>
            </w:r>
            <w:r w:rsidR="00A20AAF" w:rsidRPr="00A20AAF">
              <w:rPr>
                <w:noProof/>
                <w:webHidden/>
              </w:rPr>
            </w:r>
            <w:r w:rsidR="00A20AAF" w:rsidRPr="00A20AAF">
              <w:rPr>
                <w:noProof/>
                <w:webHidden/>
              </w:rPr>
              <w:fldChar w:fldCharType="separate"/>
            </w:r>
            <w:r w:rsidR="00A20AAF" w:rsidRPr="00A20AAF">
              <w:rPr>
                <w:noProof/>
                <w:webHidden/>
              </w:rPr>
              <w:t>143</w:t>
            </w:r>
            <w:r w:rsidR="00A20AAF" w:rsidRPr="00A20AAF">
              <w:rPr>
                <w:noProof/>
                <w:webHidden/>
              </w:rPr>
              <w:fldChar w:fldCharType="end"/>
            </w:r>
          </w:hyperlink>
        </w:p>
        <w:p w14:paraId="72984B7F" w14:textId="56827153" w:rsidR="00A20AAF" w:rsidRPr="00A20AAF" w:rsidRDefault="00B46A8E" w:rsidP="00A20AAF">
          <w:pPr>
            <w:pStyle w:val="TOC1"/>
            <w:rPr>
              <w:rFonts w:asciiTheme="minorHAnsi" w:eastAsiaTheme="minorEastAsia" w:hAnsiTheme="minorHAnsi"/>
              <w:kern w:val="0"/>
              <w:sz w:val="22"/>
              <w:szCs w:val="22"/>
              <w:lang w:eastAsia="en-US"/>
            </w:rPr>
          </w:pPr>
          <w:hyperlink w:anchor="_Toc74258658" w:history="1">
            <w:r w:rsidR="00A20AAF" w:rsidRPr="00A20AAF">
              <w:rPr>
                <w:rStyle w:val="Hyperlink"/>
                <w:lang w:eastAsia="en-US"/>
              </w:rPr>
              <w:t>RESULTS OF THE QUANTITATIVE STUDY</w:t>
            </w:r>
            <w:r w:rsidR="00A20AAF" w:rsidRPr="00A20AAF">
              <w:rPr>
                <w:webHidden/>
              </w:rPr>
              <w:tab/>
            </w:r>
            <w:r w:rsidR="00A20AAF" w:rsidRPr="00A20AAF">
              <w:rPr>
                <w:webHidden/>
              </w:rPr>
              <w:fldChar w:fldCharType="begin"/>
            </w:r>
            <w:r w:rsidR="00A20AAF" w:rsidRPr="00A20AAF">
              <w:rPr>
                <w:webHidden/>
              </w:rPr>
              <w:instrText xml:space="preserve"> PAGEREF _Toc74258658 \h </w:instrText>
            </w:r>
            <w:r w:rsidR="00A20AAF" w:rsidRPr="00A20AAF">
              <w:rPr>
                <w:webHidden/>
              </w:rPr>
            </w:r>
            <w:r w:rsidR="00A20AAF" w:rsidRPr="00A20AAF">
              <w:rPr>
                <w:webHidden/>
              </w:rPr>
              <w:fldChar w:fldCharType="separate"/>
            </w:r>
            <w:r w:rsidR="00A20AAF" w:rsidRPr="00A20AAF">
              <w:rPr>
                <w:webHidden/>
              </w:rPr>
              <w:t>144</w:t>
            </w:r>
            <w:r w:rsidR="00A20AAF" w:rsidRPr="00A20AAF">
              <w:rPr>
                <w:webHidden/>
              </w:rPr>
              <w:fldChar w:fldCharType="end"/>
            </w:r>
          </w:hyperlink>
        </w:p>
        <w:p w14:paraId="57954A7C" w14:textId="08094D3C" w:rsidR="00A20AAF" w:rsidRPr="00A20AAF" w:rsidRDefault="00B46A8E">
          <w:pPr>
            <w:pStyle w:val="TOC2"/>
            <w:rPr>
              <w:rFonts w:asciiTheme="minorHAnsi" w:eastAsiaTheme="minorEastAsia" w:hAnsiTheme="minorHAnsi"/>
              <w:noProof/>
              <w:kern w:val="0"/>
              <w:sz w:val="22"/>
              <w:szCs w:val="22"/>
              <w:lang w:eastAsia="en-US"/>
            </w:rPr>
          </w:pPr>
          <w:hyperlink w:anchor="_Toc74258659" w:history="1">
            <w:r w:rsidR="00A20AAF" w:rsidRPr="00A20AAF">
              <w:rPr>
                <w:rStyle w:val="Hyperlink"/>
                <w:noProof/>
                <w:lang w:eastAsia="en-US"/>
              </w:rPr>
              <w:t>Stage I: Demand Relevance Analysis and Results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_Toc74258659 \h </w:instrText>
            </w:r>
            <w:r w:rsidR="00A20AAF" w:rsidRPr="00A20AAF">
              <w:rPr>
                <w:noProof/>
                <w:webHidden/>
              </w:rPr>
            </w:r>
            <w:r w:rsidR="00A20AAF" w:rsidRPr="00A20AAF">
              <w:rPr>
                <w:noProof/>
                <w:webHidden/>
              </w:rPr>
              <w:fldChar w:fldCharType="separate"/>
            </w:r>
            <w:r w:rsidR="00A20AAF" w:rsidRPr="00A20AAF">
              <w:rPr>
                <w:noProof/>
                <w:webHidden/>
              </w:rPr>
              <w:t>144</w:t>
            </w:r>
            <w:r w:rsidR="00A20AAF" w:rsidRPr="00A20AAF">
              <w:rPr>
                <w:noProof/>
                <w:webHidden/>
              </w:rPr>
              <w:fldChar w:fldCharType="end"/>
            </w:r>
          </w:hyperlink>
        </w:p>
        <w:p w14:paraId="155760EC" w14:textId="0939A4BA" w:rsidR="00A20AAF" w:rsidRPr="00A20AAF" w:rsidRDefault="00B46A8E">
          <w:pPr>
            <w:pStyle w:val="TOC2"/>
            <w:rPr>
              <w:rFonts w:asciiTheme="minorHAnsi" w:eastAsiaTheme="minorEastAsia" w:hAnsiTheme="minorHAnsi"/>
              <w:noProof/>
              <w:kern w:val="0"/>
              <w:sz w:val="22"/>
              <w:szCs w:val="22"/>
              <w:lang w:eastAsia="en-US"/>
            </w:rPr>
          </w:pPr>
          <w:hyperlink w:anchor="_Toc74258660" w:history="1">
            <w:r w:rsidR="00A20AAF" w:rsidRPr="00A20AAF">
              <w:rPr>
                <w:rStyle w:val="Hyperlink"/>
                <w:noProof/>
                <w:lang w:eastAsia="en-US"/>
              </w:rPr>
              <w:t>Stage II: Classification of Stress Analysis and Results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_Toc74258660 \h </w:instrText>
            </w:r>
            <w:r w:rsidR="00A20AAF" w:rsidRPr="00A20AAF">
              <w:rPr>
                <w:noProof/>
                <w:webHidden/>
              </w:rPr>
            </w:r>
            <w:r w:rsidR="00A20AAF" w:rsidRPr="00A20AAF">
              <w:rPr>
                <w:noProof/>
                <w:webHidden/>
              </w:rPr>
              <w:fldChar w:fldCharType="separate"/>
            </w:r>
            <w:r w:rsidR="00A20AAF" w:rsidRPr="00A20AAF">
              <w:rPr>
                <w:noProof/>
                <w:webHidden/>
              </w:rPr>
              <w:t>150</w:t>
            </w:r>
            <w:r w:rsidR="00A20AAF" w:rsidRPr="00A20AAF">
              <w:rPr>
                <w:noProof/>
                <w:webHidden/>
              </w:rPr>
              <w:fldChar w:fldCharType="end"/>
            </w:r>
          </w:hyperlink>
        </w:p>
        <w:p w14:paraId="542E0A76" w14:textId="7F3D65B2" w:rsidR="00A20AAF" w:rsidRPr="00A20AAF" w:rsidRDefault="00B46A8E">
          <w:pPr>
            <w:pStyle w:val="TOC2"/>
            <w:rPr>
              <w:rFonts w:asciiTheme="minorHAnsi" w:eastAsiaTheme="minorEastAsia" w:hAnsiTheme="minorHAnsi"/>
              <w:noProof/>
              <w:kern w:val="0"/>
              <w:sz w:val="22"/>
              <w:szCs w:val="22"/>
              <w:lang w:eastAsia="en-US"/>
            </w:rPr>
          </w:pPr>
          <w:hyperlink w:anchor="_Toc74258661" w:history="1">
            <w:r w:rsidR="00A20AAF" w:rsidRPr="00A20AAF">
              <w:rPr>
                <w:rStyle w:val="Hyperlink"/>
                <w:noProof/>
                <w:lang w:eastAsia="en-US"/>
              </w:rPr>
              <w:t>Stage II Model Estimation Results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_Toc74258661 \h </w:instrText>
            </w:r>
            <w:r w:rsidR="00A20AAF" w:rsidRPr="00A20AAF">
              <w:rPr>
                <w:noProof/>
                <w:webHidden/>
              </w:rPr>
            </w:r>
            <w:r w:rsidR="00A20AAF" w:rsidRPr="00A20AAF">
              <w:rPr>
                <w:noProof/>
                <w:webHidden/>
              </w:rPr>
              <w:fldChar w:fldCharType="separate"/>
            </w:r>
            <w:r w:rsidR="00A20AAF" w:rsidRPr="00A20AAF">
              <w:rPr>
                <w:noProof/>
                <w:webHidden/>
              </w:rPr>
              <w:t>153</w:t>
            </w:r>
            <w:r w:rsidR="00A20AAF" w:rsidRPr="00A20AAF">
              <w:rPr>
                <w:noProof/>
                <w:webHidden/>
              </w:rPr>
              <w:fldChar w:fldCharType="end"/>
            </w:r>
          </w:hyperlink>
        </w:p>
        <w:p w14:paraId="05542AB6" w14:textId="7BBFCA04" w:rsidR="00A20AAF" w:rsidRPr="00A20AAF" w:rsidRDefault="00B46A8E">
          <w:pPr>
            <w:pStyle w:val="TOC2"/>
            <w:rPr>
              <w:rFonts w:asciiTheme="minorHAnsi" w:eastAsiaTheme="minorEastAsia" w:hAnsiTheme="minorHAnsi"/>
              <w:noProof/>
              <w:kern w:val="0"/>
              <w:sz w:val="22"/>
              <w:szCs w:val="22"/>
              <w:lang w:eastAsia="en-US"/>
            </w:rPr>
          </w:pPr>
          <w:hyperlink w:anchor="_Toc74258662" w:history="1">
            <w:r w:rsidR="00A20AAF" w:rsidRPr="00A20AAF">
              <w:rPr>
                <w:rStyle w:val="Hyperlink"/>
                <w:noProof/>
                <w:lang w:eastAsia="en-US"/>
              </w:rPr>
              <w:t>Stage III: Utilization of Stress Analysis and Results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_Toc74258662 \h </w:instrText>
            </w:r>
            <w:r w:rsidR="00A20AAF" w:rsidRPr="00A20AAF">
              <w:rPr>
                <w:noProof/>
                <w:webHidden/>
              </w:rPr>
            </w:r>
            <w:r w:rsidR="00A20AAF" w:rsidRPr="00A20AAF">
              <w:rPr>
                <w:noProof/>
                <w:webHidden/>
              </w:rPr>
              <w:fldChar w:fldCharType="separate"/>
            </w:r>
            <w:r w:rsidR="00A20AAF" w:rsidRPr="00A20AAF">
              <w:rPr>
                <w:noProof/>
                <w:webHidden/>
              </w:rPr>
              <w:t>157</w:t>
            </w:r>
            <w:r w:rsidR="00A20AAF" w:rsidRPr="00A20AAF">
              <w:rPr>
                <w:noProof/>
                <w:webHidden/>
              </w:rPr>
              <w:fldChar w:fldCharType="end"/>
            </w:r>
          </w:hyperlink>
        </w:p>
        <w:p w14:paraId="08F7336E" w14:textId="4082FF91" w:rsidR="00A20AAF" w:rsidRPr="00A20AAF" w:rsidRDefault="00B46A8E" w:rsidP="00A20AAF">
          <w:pPr>
            <w:pStyle w:val="TOC1"/>
            <w:rPr>
              <w:rFonts w:asciiTheme="minorHAnsi" w:eastAsiaTheme="minorEastAsia" w:hAnsiTheme="minorHAnsi"/>
              <w:kern w:val="0"/>
              <w:sz w:val="22"/>
              <w:szCs w:val="22"/>
              <w:lang w:eastAsia="en-US"/>
            </w:rPr>
          </w:pPr>
          <w:hyperlink w:anchor="_Toc74258663" w:history="1">
            <w:r w:rsidR="00A20AAF" w:rsidRPr="00A20AAF">
              <w:rPr>
                <w:rStyle w:val="Hyperlink"/>
                <w:lang w:eastAsia="en-US"/>
              </w:rPr>
              <w:t>DISCUSSION</w:t>
            </w:r>
            <w:r w:rsidR="00A20AAF" w:rsidRPr="00A20AAF">
              <w:rPr>
                <w:webHidden/>
              </w:rPr>
              <w:tab/>
            </w:r>
            <w:r w:rsidR="00A20AAF" w:rsidRPr="00A20AAF">
              <w:rPr>
                <w:webHidden/>
              </w:rPr>
              <w:fldChar w:fldCharType="begin"/>
            </w:r>
            <w:r w:rsidR="00A20AAF" w:rsidRPr="00A20AAF">
              <w:rPr>
                <w:webHidden/>
              </w:rPr>
              <w:instrText xml:space="preserve"> PAGEREF _Toc74258663 \h </w:instrText>
            </w:r>
            <w:r w:rsidR="00A20AAF" w:rsidRPr="00A20AAF">
              <w:rPr>
                <w:webHidden/>
              </w:rPr>
            </w:r>
            <w:r w:rsidR="00A20AAF" w:rsidRPr="00A20AAF">
              <w:rPr>
                <w:webHidden/>
              </w:rPr>
              <w:fldChar w:fldCharType="separate"/>
            </w:r>
            <w:r w:rsidR="00A20AAF" w:rsidRPr="00A20AAF">
              <w:rPr>
                <w:webHidden/>
              </w:rPr>
              <w:t>159</w:t>
            </w:r>
            <w:r w:rsidR="00A20AAF" w:rsidRPr="00A20AAF">
              <w:rPr>
                <w:webHidden/>
              </w:rPr>
              <w:fldChar w:fldCharType="end"/>
            </w:r>
          </w:hyperlink>
        </w:p>
        <w:p w14:paraId="0E7CB5FE" w14:textId="23AD1FAC" w:rsidR="00A20AAF" w:rsidRPr="00A20AAF" w:rsidRDefault="00B46A8E" w:rsidP="00A20AAF">
          <w:pPr>
            <w:pStyle w:val="TOC1"/>
            <w:rPr>
              <w:rFonts w:asciiTheme="minorHAnsi" w:eastAsiaTheme="minorEastAsia" w:hAnsiTheme="minorHAnsi"/>
              <w:kern w:val="0"/>
              <w:sz w:val="22"/>
              <w:szCs w:val="22"/>
              <w:lang w:eastAsia="en-US"/>
            </w:rPr>
          </w:pPr>
          <w:hyperlink w:anchor="_Toc74258664" w:history="1">
            <w:r w:rsidR="00A20AAF" w:rsidRPr="00A20AAF">
              <w:rPr>
                <w:rStyle w:val="Hyperlink"/>
                <w:lang w:eastAsia="en-US"/>
              </w:rPr>
              <w:t>Contributions to the Research</w:t>
            </w:r>
            <w:r w:rsidR="00A20AAF" w:rsidRPr="00A20AAF">
              <w:rPr>
                <w:webHidden/>
              </w:rPr>
              <w:tab/>
            </w:r>
            <w:r w:rsidR="00A20AAF" w:rsidRPr="00A20AAF">
              <w:rPr>
                <w:webHidden/>
              </w:rPr>
              <w:fldChar w:fldCharType="begin"/>
            </w:r>
            <w:r w:rsidR="00A20AAF" w:rsidRPr="00A20AAF">
              <w:rPr>
                <w:webHidden/>
              </w:rPr>
              <w:instrText xml:space="preserve"> PAGEREF _Toc74258664 \h </w:instrText>
            </w:r>
            <w:r w:rsidR="00A20AAF" w:rsidRPr="00A20AAF">
              <w:rPr>
                <w:webHidden/>
              </w:rPr>
            </w:r>
            <w:r w:rsidR="00A20AAF" w:rsidRPr="00A20AAF">
              <w:rPr>
                <w:webHidden/>
              </w:rPr>
              <w:fldChar w:fldCharType="separate"/>
            </w:r>
            <w:r w:rsidR="00A20AAF" w:rsidRPr="00A20AAF">
              <w:rPr>
                <w:webHidden/>
              </w:rPr>
              <w:t>162</w:t>
            </w:r>
            <w:r w:rsidR="00A20AAF" w:rsidRPr="00A20AAF">
              <w:rPr>
                <w:webHidden/>
              </w:rPr>
              <w:fldChar w:fldCharType="end"/>
            </w:r>
          </w:hyperlink>
        </w:p>
        <w:p w14:paraId="615E7922" w14:textId="3AA8A238" w:rsidR="00A20AAF" w:rsidRPr="00A20AAF" w:rsidRDefault="00B46A8E" w:rsidP="00A20AAF">
          <w:pPr>
            <w:pStyle w:val="TOC1"/>
            <w:rPr>
              <w:rFonts w:asciiTheme="minorHAnsi" w:eastAsiaTheme="minorEastAsia" w:hAnsiTheme="minorHAnsi"/>
              <w:kern w:val="0"/>
              <w:sz w:val="22"/>
              <w:szCs w:val="22"/>
              <w:lang w:eastAsia="en-US"/>
            </w:rPr>
          </w:pPr>
          <w:hyperlink w:anchor="_Toc74258665" w:history="1">
            <w:r w:rsidR="00A20AAF" w:rsidRPr="00A20AAF">
              <w:rPr>
                <w:rStyle w:val="Hyperlink"/>
                <w:lang w:eastAsia="en-US"/>
              </w:rPr>
              <w:t>Contributions to Practice</w:t>
            </w:r>
            <w:r w:rsidR="00A20AAF" w:rsidRPr="00A20AAF">
              <w:rPr>
                <w:webHidden/>
              </w:rPr>
              <w:tab/>
            </w:r>
            <w:r w:rsidR="00A20AAF" w:rsidRPr="00A20AAF">
              <w:rPr>
                <w:webHidden/>
              </w:rPr>
              <w:fldChar w:fldCharType="begin"/>
            </w:r>
            <w:r w:rsidR="00A20AAF" w:rsidRPr="00A20AAF">
              <w:rPr>
                <w:webHidden/>
              </w:rPr>
              <w:instrText xml:space="preserve"> PAGEREF _Toc74258665 \h </w:instrText>
            </w:r>
            <w:r w:rsidR="00A20AAF" w:rsidRPr="00A20AAF">
              <w:rPr>
                <w:webHidden/>
              </w:rPr>
            </w:r>
            <w:r w:rsidR="00A20AAF" w:rsidRPr="00A20AAF">
              <w:rPr>
                <w:webHidden/>
              </w:rPr>
              <w:fldChar w:fldCharType="separate"/>
            </w:r>
            <w:r w:rsidR="00A20AAF" w:rsidRPr="00A20AAF">
              <w:rPr>
                <w:webHidden/>
              </w:rPr>
              <w:t>164</w:t>
            </w:r>
            <w:r w:rsidR="00A20AAF" w:rsidRPr="00A20AAF">
              <w:rPr>
                <w:webHidden/>
              </w:rPr>
              <w:fldChar w:fldCharType="end"/>
            </w:r>
          </w:hyperlink>
        </w:p>
        <w:p w14:paraId="0059FF79" w14:textId="3BCE275F" w:rsidR="00A20AAF" w:rsidRPr="00A20AAF" w:rsidRDefault="00B46A8E" w:rsidP="00A20AAF">
          <w:pPr>
            <w:pStyle w:val="TOC1"/>
            <w:rPr>
              <w:rFonts w:asciiTheme="minorHAnsi" w:eastAsiaTheme="minorEastAsia" w:hAnsiTheme="minorHAnsi"/>
              <w:kern w:val="0"/>
              <w:sz w:val="22"/>
              <w:szCs w:val="22"/>
              <w:lang w:eastAsia="en-US"/>
            </w:rPr>
          </w:pPr>
          <w:hyperlink w:anchor="_Toc74258666" w:history="1">
            <w:r w:rsidR="00A20AAF" w:rsidRPr="00A20AAF">
              <w:rPr>
                <w:rStyle w:val="Hyperlink"/>
                <w:lang w:eastAsia="en-US"/>
              </w:rPr>
              <w:t>LIMITATIONS AND FUTURE RESEARCH</w:t>
            </w:r>
            <w:r w:rsidR="00A20AAF" w:rsidRPr="00A20AAF">
              <w:rPr>
                <w:webHidden/>
              </w:rPr>
              <w:tab/>
            </w:r>
            <w:r w:rsidR="00A20AAF" w:rsidRPr="00A20AAF">
              <w:rPr>
                <w:webHidden/>
              </w:rPr>
              <w:fldChar w:fldCharType="begin"/>
            </w:r>
            <w:r w:rsidR="00A20AAF" w:rsidRPr="00A20AAF">
              <w:rPr>
                <w:webHidden/>
              </w:rPr>
              <w:instrText xml:space="preserve"> PAGEREF _Toc74258666 \h </w:instrText>
            </w:r>
            <w:r w:rsidR="00A20AAF" w:rsidRPr="00A20AAF">
              <w:rPr>
                <w:webHidden/>
              </w:rPr>
            </w:r>
            <w:r w:rsidR="00A20AAF" w:rsidRPr="00A20AAF">
              <w:rPr>
                <w:webHidden/>
              </w:rPr>
              <w:fldChar w:fldCharType="separate"/>
            </w:r>
            <w:r w:rsidR="00A20AAF" w:rsidRPr="00A20AAF">
              <w:rPr>
                <w:webHidden/>
              </w:rPr>
              <w:t>165</w:t>
            </w:r>
            <w:r w:rsidR="00A20AAF" w:rsidRPr="00A20AAF">
              <w:rPr>
                <w:webHidden/>
              </w:rPr>
              <w:fldChar w:fldCharType="end"/>
            </w:r>
          </w:hyperlink>
        </w:p>
        <w:p w14:paraId="17AA6A93" w14:textId="1E11A30C" w:rsidR="00A20AAF" w:rsidRPr="00A20AAF" w:rsidRDefault="00B46A8E" w:rsidP="00A20AAF">
          <w:pPr>
            <w:pStyle w:val="TOC1"/>
            <w:rPr>
              <w:rFonts w:asciiTheme="minorHAnsi" w:eastAsiaTheme="minorEastAsia" w:hAnsiTheme="minorHAnsi"/>
              <w:kern w:val="0"/>
              <w:sz w:val="22"/>
              <w:szCs w:val="22"/>
              <w:lang w:eastAsia="en-US"/>
            </w:rPr>
          </w:pPr>
          <w:hyperlink w:anchor="_Toc74258667" w:history="1">
            <w:r w:rsidR="00A20AAF" w:rsidRPr="00A20AAF">
              <w:rPr>
                <w:rStyle w:val="Hyperlink"/>
                <w:lang w:eastAsia="en-US"/>
              </w:rPr>
              <w:t>CONCLUSION</w:t>
            </w:r>
            <w:r w:rsidR="00A20AAF" w:rsidRPr="00A20AAF">
              <w:rPr>
                <w:webHidden/>
              </w:rPr>
              <w:tab/>
            </w:r>
            <w:r w:rsidR="00A20AAF" w:rsidRPr="00A20AAF">
              <w:rPr>
                <w:webHidden/>
              </w:rPr>
              <w:fldChar w:fldCharType="begin"/>
            </w:r>
            <w:r w:rsidR="00A20AAF" w:rsidRPr="00A20AAF">
              <w:rPr>
                <w:webHidden/>
              </w:rPr>
              <w:instrText xml:space="preserve"> PAGEREF _Toc74258667 \h </w:instrText>
            </w:r>
            <w:r w:rsidR="00A20AAF" w:rsidRPr="00A20AAF">
              <w:rPr>
                <w:webHidden/>
              </w:rPr>
            </w:r>
            <w:r w:rsidR="00A20AAF" w:rsidRPr="00A20AAF">
              <w:rPr>
                <w:webHidden/>
              </w:rPr>
              <w:fldChar w:fldCharType="separate"/>
            </w:r>
            <w:r w:rsidR="00A20AAF" w:rsidRPr="00A20AAF">
              <w:rPr>
                <w:webHidden/>
              </w:rPr>
              <w:t>166</w:t>
            </w:r>
            <w:r w:rsidR="00A20AAF" w:rsidRPr="00A20AAF">
              <w:rPr>
                <w:webHidden/>
              </w:rPr>
              <w:fldChar w:fldCharType="end"/>
            </w:r>
          </w:hyperlink>
        </w:p>
        <w:p w14:paraId="7FC743EB" w14:textId="4B8C5D61" w:rsidR="00A20AAF" w:rsidRPr="00A20AAF" w:rsidRDefault="00B46A8E" w:rsidP="00A20AAF">
          <w:pPr>
            <w:pStyle w:val="TOC1"/>
            <w:rPr>
              <w:rFonts w:asciiTheme="minorHAnsi" w:eastAsiaTheme="minorEastAsia" w:hAnsiTheme="minorHAnsi"/>
              <w:kern w:val="0"/>
              <w:sz w:val="22"/>
              <w:szCs w:val="22"/>
              <w:lang w:eastAsia="en-US"/>
            </w:rPr>
          </w:pPr>
          <w:hyperlink w:anchor="_Toc74258668" w:history="1">
            <w:r w:rsidR="00A20AAF" w:rsidRPr="00A20AAF">
              <w:rPr>
                <w:rStyle w:val="Hyperlink"/>
                <w:lang w:eastAsia="en-US"/>
              </w:rPr>
              <w:t>REFERENCES</w:t>
            </w:r>
            <w:r w:rsidR="00A20AAF" w:rsidRPr="00A20AAF">
              <w:rPr>
                <w:webHidden/>
              </w:rPr>
              <w:tab/>
            </w:r>
            <w:r w:rsidR="00A20AAF" w:rsidRPr="00A20AAF">
              <w:rPr>
                <w:webHidden/>
              </w:rPr>
              <w:fldChar w:fldCharType="begin"/>
            </w:r>
            <w:r w:rsidR="00A20AAF" w:rsidRPr="00A20AAF">
              <w:rPr>
                <w:webHidden/>
              </w:rPr>
              <w:instrText xml:space="preserve"> PAGEREF _Toc74258668 \h </w:instrText>
            </w:r>
            <w:r w:rsidR="00A20AAF" w:rsidRPr="00A20AAF">
              <w:rPr>
                <w:webHidden/>
              </w:rPr>
            </w:r>
            <w:r w:rsidR="00A20AAF" w:rsidRPr="00A20AAF">
              <w:rPr>
                <w:webHidden/>
              </w:rPr>
              <w:fldChar w:fldCharType="separate"/>
            </w:r>
            <w:r w:rsidR="00A20AAF" w:rsidRPr="00A20AAF">
              <w:rPr>
                <w:webHidden/>
              </w:rPr>
              <w:t>168</w:t>
            </w:r>
            <w:r w:rsidR="00A20AAF" w:rsidRPr="00A20AAF">
              <w:rPr>
                <w:webHidden/>
              </w:rPr>
              <w:fldChar w:fldCharType="end"/>
            </w:r>
          </w:hyperlink>
        </w:p>
        <w:p w14:paraId="1A8597A0" w14:textId="46ECDDDF" w:rsidR="00A20AAF" w:rsidRPr="00A20AAF" w:rsidRDefault="00B46A8E" w:rsidP="00A20AAF">
          <w:pPr>
            <w:pStyle w:val="TOC1"/>
            <w:rPr>
              <w:rFonts w:asciiTheme="minorHAnsi" w:eastAsiaTheme="minorEastAsia" w:hAnsiTheme="minorHAnsi"/>
              <w:kern w:val="0"/>
              <w:sz w:val="22"/>
              <w:szCs w:val="22"/>
              <w:lang w:eastAsia="en-US"/>
            </w:rPr>
          </w:pPr>
          <w:hyperlink w:anchor="_Toc74258669" w:history="1">
            <w:r w:rsidR="00A20AAF" w:rsidRPr="00A20AAF">
              <w:rPr>
                <w:rStyle w:val="Hyperlink"/>
                <w:lang w:eastAsia="en-US"/>
              </w:rPr>
              <w:t>APPENDIX D: DEFINITIONS</w:t>
            </w:r>
            <w:r w:rsidR="00A20AAF" w:rsidRPr="00A20AAF">
              <w:rPr>
                <w:webHidden/>
              </w:rPr>
              <w:tab/>
            </w:r>
            <w:r w:rsidR="00A20AAF" w:rsidRPr="00A20AAF">
              <w:rPr>
                <w:webHidden/>
              </w:rPr>
              <w:fldChar w:fldCharType="begin"/>
            </w:r>
            <w:r w:rsidR="00A20AAF" w:rsidRPr="00A20AAF">
              <w:rPr>
                <w:webHidden/>
              </w:rPr>
              <w:instrText xml:space="preserve"> PAGEREF _Toc74258669 \h </w:instrText>
            </w:r>
            <w:r w:rsidR="00A20AAF" w:rsidRPr="00A20AAF">
              <w:rPr>
                <w:webHidden/>
              </w:rPr>
            </w:r>
            <w:r w:rsidR="00A20AAF" w:rsidRPr="00A20AAF">
              <w:rPr>
                <w:webHidden/>
              </w:rPr>
              <w:fldChar w:fldCharType="separate"/>
            </w:r>
            <w:r w:rsidR="00A20AAF" w:rsidRPr="00A20AAF">
              <w:rPr>
                <w:webHidden/>
              </w:rPr>
              <w:t>176</w:t>
            </w:r>
            <w:r w:rsidR="00A20AAF" w:rsidRPr="00A20AAF">
              <w:rPr>
                <w:webHidden/>
              </w:rPr>
              <w:fldChar w:fldCharType="end"/>
            </w:r>
          </w:hyperlink>
        </w:p>
        <w:p w14:paraId="1216878E" w14:textId="07E015B9" w:rsidR="00A20AAF" w:rsidRPr="00A20AAF" w:rsidRDefault="00B46A8E" w:rsidP="00A20AAF">
          <w:pPr>
            <w:pStyle w:val="TOC1"/>
            <w:rPr>
              <w:rFonts w:asciiTheme="minorHAnsi" w:eastAsiaTheme="minorEastAsia" w:hAnsiTheme="minorHAnsi"/>
              <w:kern w:val="0"/>
              <w:sz w:val="22"/>
              <w:szCs w:val="22"/>
              <w:lang w:eastAsia="en-US"/>
            </w:rPr>
          </w:pPr>
          <w:hyperlink w:anchor="_Toc74258670" w:history="1">
            <w:r w:rsidR="00A20AAF" w:rsidRPr="00A20AAF">
              <w:rPr>
                <w:rStyle w:val="Hyperlink"/>
                <w:lang w:eastAsia="en-US"/>
              </w:rPr>
              <w:t>APPENDIX E: MIXED METHODS DESIGN</w:t>
            </w:r>
            <w:r w:rsidR="00A20AAF" w:rsidRPr="00A20AAF">
              <w:rPr>
                <w:webHidden/>
              </w:rPr>
              <w:tab/>
            </w:r>
            <w:r w:rsidR="00A20AAF" w:rsidRPr="00A20AAF">
              <w:rPr>
                <w:webHidden/>
              </w:rPr>
              <w:fldChar w:fldCharType="begin"/>
            </w:r>
            <w:r w:rsidR="00A20AAF" w:rsidRPr="00A20AAF">
              <w:rPr>
                <w:webHidden/>
              </w:rPr>
              <w:instrText xml:space="preserve"> PAGEREF _Toc74258670 \h </w:instrText>
            </w:r>
            <w:r w:rsidR="00A20AAF" w:rsidRPr="00A20AAF">
              <w:rPr>
                <w:webHidden/>
              </w:rPr>
            </w:r>
            <w:r w:rsidR="00A20AAF" w:rsidRPr="00A20AAF">
              <w:rPr>
                <w:webHidden/>
              </w:rPr>
              <w:fldChar w:fldCharType="separate"/>
            </w:r>
            <w:r w:rsidR="00A20AAF" w:rsidRPr="00A20AAF">
              <w:rPr>
                <w:webHidden/>
              </w:rPr>
              <w:t>178</w:t>
            </w:r>
            <w:r w:rsidR="00A20AAF" w:rsidRPr="00A20AAF">
              <w:rPr>
                <w:webHidden/>
              </w:rPr>
              <w:fldChar w:fldCharType="end"/>
            </w:r>
          </w:hyperlink>
        </w:p>
        <w:p w14:paraId="055B0F6E" w14:textId="0B321928" w:rsidR="00A20AAF" w:rsidRPr="00A20AAF" w:rsidRDefault="00B46A8E" w:rsidP="00A20AAF">
          <w:pPr>
            <w:pStyle w:val="TOC1"/>
            <w:rPr>
              <w:rFonts w:asciiTheme="minorHAnsi" w:eastAsiaTheme="minorEastAsia" w:hAnsiTheme="minorHAnsi"/>
              <w:kern w:val="0"/>
              <w:sz w:val="22"/>
              <w:szCs w:val="22"/>
              <w:lang w:eastAsia="en-US"/>
            </w:rPr>
          </w:pPr>
          <w:hyperlink w:anchor="_Toc74258671" w:history="1">
            <w:r w:rsidR="00A20AAF" w:rsidRPr="00A20AAF">
              <w:rPr>
                <w:rStyle w:val="Hyperlink"/>
                <w:lang w:eastAsia="en-US"/>
              </w:rPr>
              <w:t>APPENDIX F: QUALITATIVE INTERVIEW PROTOCOL</w:t>
            </w:r>
            <w:r w:rsidR="00A20AAF" w:rsidRPr="00A20AAF">
              <w:rPr>
                <w:webHidden/>
              </w:rPr>
              <w:tab/>
            </w:r>
            <w:r w:rsidR="00A20AAF" w:rsidRPr="00A20AAF">
              <w:rPr>
                <w:webHidden/>
              </w:rPr>
              <w:fldChar w:fldCharType="begin"/>
            </w:r>
            <w:r w:rsidR="00A20AAF" w:rsidRPr="00A20AAF">
              <w:rPr>
                <w:webHidden/>
              </w:rPr>
              <w:instrText xml:space="preserve"> PAGEREF _Toc74258671 \h </w:instrText>
            </w:r>
            <w:r w:rsidR="00A20AAF" w:rsidRPr="00A20AAF">
              <w:rPr>
                <w:webHidden/>
              </w:rPr>
            </w:r>
            <w:r w:rsidR="00A20AAF" w:rsidRPr="00A20AAF">
              <w:rPr>
                <w:webHidden/>
              </w:rPr>
              <w:fldChar w:fldCharType="separate"/>
            </w:r>
            <w:r w:rsidR="00A20AAF" w:rsidRPr="00A20AAF">
              <w:rPr>
                <w:webHidden/>
              </w:rPr>
              <w:t>182</w:t>
            </w:r>
            <w:r w:rsidR="00A20AAF" w:rsidRPr="00A20AAF">
              <w:rPr>
                <w:webHidden/>
              </w:rPr>
              <w:fldChar w:fldCharType="end"/>
            </w:r>
          </w:hyperlink>
        </w:p>
        <w:p w14:paraId="116BB552" w14:textId="3131B6BA" w:rsidR="00A20AAF" w:rsidRPr="00A20AAF" w:rsidRDefault="00B46A8E" w:rsidP="00A20AAF">
          <w:pPr>
            <w:pStyle w:val="TOC1"/>
            <w:rPr>
              <w:rFonts w:asciiTheme="minorHAnsi" w:eastAsiaTheme="minorEastAsia" w:hAnsiTheme="minorHAnsi"/>
              <w:kern w:val="0"/>
              <w:sz w:val="22"/>
              <w:szCs w:val="22"/>
              <w:lang w:eastAsia="en-US"/>
            </w:rPr>
          </w:pPr>
          <w:hyperlink w:anchor="_Toc74258672" w:history="1">
            <w:r w:rsidR="00A20AAF" w:rsidRPr="00A20AAF">
              <w:rPr>
                <w:rStyle w:val="Hyperlink"/>
                <w:lang w:eastAsia="en-US"/>
              </w:rPr>
              <w:t>APPENDIX G: QUALITATIVE STUDY RESULTS</w:t>
            </w:r>
            <w:r w:rsidR="00A20AAF" w:rsidRPr="00A20AAF">
              <w:rPr>
                <w:webHidden/>
              </w:rPr>
              <w:tab/>
            </w:r>
            <w:r w:rsidR="00A20AAF" w:rsidRPr="00A20AAF">
              <w:rPr>
                <w:webHidden/>
              </w:rPr>
              <w:fldChar w:fldCharType="begin"/>
            </w:r>
            <w:r w:rsidR="00A20AAF" w:rsidRPr="00A20AAF">
              <w:rPr>
                <w:webHidden/>
              </w:rPr>
              <w:instrText xml:space="preserve"> PAGEREF _Toc74258672 \h </w:instrText>
            </w:r>
            <w:r w:rsidR="00A20AAF" w:rsidRPr="00A20AAF">
              <w:rPr>
                <w:webHidden/>
              </w:rPr>
            </w:r>
            <w:r w:rsidR="00A20AAF" w:rsidRPr="00A20AAF">
              <w:rPr>
                <w:webHidden/>
              </w:rPr>
              <w:fldChar w:fldCharType="separate"/>
            </w:r>
            <w:r w:rsidR="00A20AAF" w:rsidRPr="00A20AAF">
              <w:rPr>
                <w:webHidden/>
              </w:rPr>
              <w:t>186</w:t>
            </w:r>
            <w:r w:rsidR="00A20AAF" w:rsidRPr="00A20AAF">
              <w:rPr>
                <w:webHidden/>
              </w:rPr>
              <w:fldChar w:fldCharType="end"/>
            </w:r>
          </w:hyperlink>
        </w:p>
        <w:p w14:paraId="6C17D3C4" w14:textId="3ED8342C" w:rsidR="00A20AAF" w:rsidRPr="00A20AAF" w:rsidRDefault="00B46A8E" w:rsidP="00A20AAF">
          <w:pPr>
            <w:pStyle w:val="TOC1"/>
            <w:rPr>
              <w:rFonts w:asciiTheme="minorHAnsi" w:eastAsiaTheme="minorEastAsia" w:hAnsiTheme="minorHAnsi"/>
              <w:kern w:val="0"/>
              <w:sz w:val="22"/>
              <w:szCs w:val="22"/>
              <w:lang w:eastAsia="en-US"/>
            </w:rPr>
          </w:pPr>
          <w:hyperlink w:anchor="_Toc74258673" w:history="1">
            <w:r w:rsidR="00A20AAF" w:rsidRPr="00A20AAF">
              <w:rPr>
                <w:rStyle w:val="Hyperlink"/>
              </w:rPr>
              <w:t>APPENDIX H: SUPPORTING QUOTES FROM INTERVIEWS</w:t>
            </w:r>
            <w:r w:rsidR="00A20AAF" w:rsidRPr="00A20AAF">
              <w:rPr>
                <w:webHidden/>
              </w:rPr>
              <w:tab/>
            </w:r>
            <w:r w:rsidR="00A20AAF" w:rsidRPr="00A20AAF">
              <w:rPr>
                <w:webHidden/>
              </w:rPr>
              <w:fldChar w:fldCharType="begin"/>
            </w:r>
            <w:r w:rsidR="00A20AAF" w:rsidRPr="00A20AAF">
              <w:rPr>
                <w:webHidden/>
              </w:rPr>
              <w:instrText xml:space="preserve"> PAGEREF _Toc74258673 \h </w:instrText>
            </w:r>
            <w:r w:rsidR="00A20AAF" w:rsidRPr="00A20AAF">
              <w:rPr>
                <w:webHidden/>
              </w:rPr>
            </w:r>
            <w:r w:rsidR="00A20AAF" w:rsidRPr="00A20AAF">
              <w:rPr>
                <w:webHidden/>
              </w:rPr>
              <w:fldChar w:fldCharType="separate"/>
            </w:r>
            <w:r w:rsidR="00A20AAF" w:rsidRPr="00A20AAF">
              <w:rPr>
                <w:webHidden/>
              </w:rPr>
              <w:t>189</w:t>
            </w:r>
            <w:r w:rsidR="00A20AAF" w:rsidRPr="00A20AAF">
              <w:rPr>
                <w:webHidden/>
              </w:rPr>
              <w:fldChar w:fldCharType="end"/>
            </w:r>
          </w:hyperlink>
        </w:p>
        <w:p w14:paraId="69240342" w14:textId="160F33C6" w:rsidR="00A20AAF" w:rsidRPr="00A20AAF" w:rsidRDefault="00B46A8E" w:rsidP="00A20AAF">
          <w:pPr>
            <w:pStyle w:val="TOC1"/>
            <w:rPr>
              <w:rFonts w:asciiTheme="minorHAnsi" w:eastAsiaTheme="minorEastAsia" w:hAnsiTheme="minorHAnsi"/>
              <w:kern w:val="0"/>
              <w:sz w:val="22"/>
              <w:szCs w:val="22"/>
              <w:lang w:eastAsia="en-US"/>
            </w:rPr>
          </w:pPr>
          <w:hyperlink w:anchor="_Toc74258674" w:history="1">
            <w:r w:rsidR="00A20AAF" w:rsidRPr="00A20AAF">
              <w:rPr>
                <w:rStyle w:val="Hyperlink"/>
                <w:lang w:eastAsia="en-US"/>
              </w:rPr>
              <w:t>APPENDIX I: SURVEY INSTRUMENT FOR QUANTITATIVE STUDY</w:t>
            </w:r>
            <w:r w:rsidR="00A20AAF" w:rsidRPr="00A20AAF">
              <w:rPr>
                <w:webHidden/>
              </w:rPr>
              <w:tab/>
            </w:r>
            <w:r w:rsidR="00A20AAF" w:rsidRPr="00A20AAF">
              <w:rPr>
                <w:webHidden/>
              </w:rPr>
              <w:fldChar w:fldCharType="begin"/>
            </w:r>
            <w:r w:rsidR="00A20AAF" w:rsidRPr="00A20AAF">
              <w:rPr>
                <w:webHidden/>
              </w:rPr>
              <w:instrText xml:space="preserve"> PAGEREF _Toc74258674 \h </w:instrText>
            </w:r>
            <w:r w:rsidR="00A20AAF" w:rsidRPr="00A20AAF">
              <w:rPr>
                <w:webHidden/>
              </w:rPr>
            </w:r>
            <w:r w:rsidR="00A20AAF" w:rsidRPr="00A20AAF">
              <w:rPr>
                <w:webHidden/>
              </w:rPr>
              <w:fldChar w:fldCharType="separate"/>
            </w:r>
            <w:r w:rsidR="00A20AAF" w:rsidRPr="00A20AAF">
              <w:rPr>
                <w:webHidden/>
              </w:rPr>
              <w:t>195</w:t>
            </w:r>
            <w:r w:rsidR="00A20AAF" w:rsidRPr="00A20AAF">
              <w:rPr>
                <w:webHidden/>
              </w:rPr>
              <w:fldChar w:fldCharType="end"/>
            </w:r>
          </w:hyperlink>
        </w:p>
        <w:p w14:paraId="259DDAF6" w14:textId="15589F15" w:rsidR="00A20AAF" w:rsidRPr="00A20AAF" w:rsidRDefault="00B46A8E" w:rsidP="00A20AAF">
          <w:pPr>
            <w:pStyle w:val="TOC1"/>
            <w:rPr>
              <w:rFonts w:asciiTheme="minorHAnsi" w:eastAsiaTheme="minorEastAsia" w:hAnsiTheme="minorHAnsi"/>
              <w:kern w:val="0"/>
              <w:sz w:val="22"/>
              <w:szCs w:val="22"/>
              <w:lang w:eastAsia="en-US"/>
            </w:rPr>
          </w:pPr>
          <w:hyperlink w:anchor="_Toc74258675" w:history="1">
            <w:r w:rsidR="00A20AAF" w:rsidRPr="00A20AAF">
              <w:rPr>
                <w:rStyle w:val="Hyperlink"/>
              </w:rPr>
              <w:t>APPENDIX J: QUANTITATIVE STUDY DEMOGRAPHICS</w:t>
            </w:r>
            <w:r w:rsidR="00A20AAF" w:rsidRPr="00A20AAF">
              <w:rPr>
                <w:webHidden/>
              </w:rPr>
              <w:tab/>
            </w:r>
            <w:r w:rsidR="00A20AAF" w:rsidRPr="00A20AAF">
              <w:rPr>
                <w:webHidden/>
              </w:rPr>
              <w:fldChar w:fldCharType="begin"/>
            </w:r>
            <w:r w:rsidR="00A20AAF" w:rsidRPr="00A20AAF">
              <w:rPr>
                <w:webHidden/>
              </w:rPr>
              <w:instrText xml:space="preserve"> PAGEREF _Toc74258675 \h </w:instrText>
            </w:r>
            <w:r w:rsidR="00A20AAF" w:rsidRPr="00A20AAF">
              <w:rPr>
                <w:webHidden/>
              </w:rPr>
            </w:r>
            <w:r w:rsidR="00A20AAF" w:rsidRPr="00A20AAF">
              <w:rPr>
                <w:webHidden/>
              </w:rPr>
              <w:fldChar w:fldCharType="separate"/>
            </w:r>
            <w:r w:rsidR="00A20AAF" w:rsidRPr="00A20AAF">
              <w:rPr>
                <w:webHidden/>
              </w:rPr>
              <w:t>203</w:t>
            </w:r>
            <w:r w:rsidR="00A20AAF" w:rsidRPr="00A20AAF">
              <w:rPr>
                <w:webHidden/>
              </w:rPr>
              <w:fldChar w:fldCharType="end"/>
            </w:r>
          </w:hyperlink>
        </w:p>
        <w:p w14:paraId="33E5DCFE" w14:textId="3B00C75C" w:rsidR="00A20AAF" w:rsidRPr="00A20AAF" w:rsidRDefault="00B46A8E" w:rsidP="00A20AAF">
          <w:pPr>
            <w:pStyle w:val="TOC1"/>
            <w:rPr>
              <w:rFonts w:asciiTheme="minorHAnsi" w:eastAsiaTheme="minorEastAsia" w:hAnsiTheme="minorHAnsi"/>
              <w:kern w:val="0"/>
              <w:sz w:val="22"/>
              <w:szCs w:val="22"/>
              <w:lang w:eastAsia="en-US"/>
            </w:rPr>
          </w:pPr>
          <w:hyperlink w:anchor="_Toc74258676" w:history="1">
            <w:r w:rsidR="00A20AAF" w:rsidRPr="00A20AAF">
              <w:rPr>
                <w:rStyle w:val="Hyperlink"/>
                <w:lang w:eastAsia="en-US"/>
              </w:rPr>
              <w:t>APPENDIX K: QUANTITATIVE STUDY RESULTS</w:t>
            </w:r>
            <w:r w:rsidR="00A20AAF" w:rsidRPr="00A20AAF">
              <w:rPr>
                <w:webHidden/>
              </w:rPr>
              <w:tab/>
            </w:r>
            <w:r w:rsidR="00A20AAF" w:rsidRPr="00A20AAF">
              <w:rPr>
                <w:webHidden/>
              </w:rPr>
              <w:fldChar w:fldCharType="begin"/>
            </w:r>
            <w:r w:rsidR="00A20AAF" w:rsidRPr="00A20AAF">
              <w:rPr>
                <w:webHidden/>
              </w:rPr>
              <w:instrText xml:space="preserve"> PAGEREF _Toc74258676 \h </w:instrText>
            </w:r>
            <w:r w:rsidR="00A20AAF" w:rsidRPr="00A20AAF">
              <w:rPr>
                <w:webHidden/>
              </w:rPr>
            </w:r>
            <w:r w:rsidR="00A20AAF" w:rsidRPr="00A20AAF">
              <w:rPr>
                <w:webHidden/>
              </w:rPr>
              <w:fldChar w:fldCharType="separate"/>
            </w:r>
            <w:r w:rsidR="00A20AAF" w:rsidRPr="00A20AAF">
              <w:rPr>
                <w:webHidden/>
              </w:rPr>
              <w:t>205</w:t>
            </w:r>
            <w:r w:rsidR="00A20AAF" w:rsidRPr="00A20AAF">
              <w:rPr>
                <w:webHidden/>
              </w:rPr>
              <w:fldChar w:fldCharType="end"/>
            </w:r>
          </w:hyperlink>
        </w:p>
        <w:p w14:paraId="145BDD02" w14:textId="69F4112F" w:rsidR="00A20AAF" w:rsidRPr="00A20AAF" w:rsidRDefault="00B46A8E" w:rsidP="00A20AAF">
          <w:pPr>
            <w:pStyle w:val="TOC1"/>
            <w:rPr>
              <w:rFonts w:asciiTheme="minorHAnsi" w:eastAsiaTheme="minorEastAsia" w:hAnsiTheme="minorHAnsi"/>
              <w:kern w:val="0"/>
              <w:sz w:val="22"/>
              <w:szCs w:val="22"/>
              <w:lang w:eastAsia="en-US"/>
            </w:rPr>
          </w:pPr>
          <w:hyperlink w:anchor="_Toc74258677" w:history="1">
            <w:r w:rsidR="00A20AAF" w:rsidRPr="00A20AAF">
              <w:rPr>
                <w:rStyle w:val="Hyperlink"/>
                <w:lang w:eastAsia="en-US"/>
              </w:rPr>
              <w:t>APPENDIX L: FUTURE RESEARCH</w:t>
            </w:r>
            <w:r w:rsidR="00A20AAF" w:rsidRPr="00A20AAF">
              <w:rPr>
                <w:webHidden/>
              </w:rPr>
              <w:tab/>
            </w:r>
            <w:r w:rsidR="00A20AAF" w:rsidRPr="00A20AAF">
              <w:rPr>
                <w:webHidden/>
              </w:rPr>
              <w:fldChar w:fldCharType="begin"/>
            </w:r>
            <w:r w:rsidR="00A20AAF" w:rsidRPr="00A20AAF">
              <w:rPr>
                <w:webHidden/>
              </w:rPr>
              <w:instrText xml:space="preserve"> PAGEREF _Toc74258677 \h </w:instrText>
            </w:r>
            <w:r w:rsidR="00A20AAF" w:rsidRPr="00A20AAF">
              <w:rPr>
                <w:webHidden/>
              </w:rPr>
            </w:r>
            <w:r w:rsidR="00A20AAF" w:rsidRPr="00A20AAF">
              <w:rPr>
                <w:webHidden/>
              </w:rPr>
              <w:fldChar w:fldCharType="separate"/>
            </w:r>
            <w:r w:rsidR="00A20AAF" w:rsidRPr="00A20AAF">
              <w:rPr>
                <w:webHidden/>
              </w:rPr>
              <w:t>206</w:t>
            </w:r>
            <w:r w:rsidR="00A20AAF" w:rsidRPr="00A20AAF">
              <w:rPr>
                <w:webHidden/>
              </w:rPr>
              <w:fldChar w:fldCharType="end"/>
            </w:r>
          </w:hyperlink>
        </w:p>
        <w:p w14:paraId="233A5C50" w14:textId="19275059" w:rsidR="00A20AAF" w:rsidRPr="00A20AAF" w:rsidRDefault="00B46A8E">
          <w:pPr>
            <w:pStyle w:val="TOC2"/>
            <w:rPr>
              <w:rFonts w:asciiTheme="minorHAnsi" w:eastAsiaTheme="minorEastAsia" w:hAnsiTheme="minorHAnsi"/>
              <w:noProof/>
              <w:kern w:val="0"/>
              <w:sz w:val="22"/>
              <w:szCs w:val="22"/>
              <w:lang w:eastAsia="en-US"/>
            </w:rPr>
          </w:pPr>
          <w:hyperlink w:anchor="_Toc74258678" w:history="1">
            <w:r w:rsidR="00A20AAF" w:rsidRPr="00A20AAF">
              <w:rPr>
                <w:rStyle w:val="Hyperlink"/>
                <w:noProof/>
                <w:lang w:eastAsia="en-US"/>
              </w:rPr>
              <w:t>Stress and Turnover: A Cybersecurity Turnover Intention Model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_Toc74258678 \h </w:instrText>
            </w:r>
            <w:r w:rsidR="00A20AAF" w:rsidRPr="00A20AAF">
              <w:rPr>
                <w:noProof/>
                <w:webHidden/>
              </w:rPr>
            </w:r>
            <w:r w:rsidR="00A20AAF" w:rsidRPr="00A20AAF">
              <w:rPr>
                <w:noProof/>
                <w:webHidden/>
              </w:rPr>
              <w:fldChar w:fldCharType="separate"/>
            </w:r>
            <w:r w:rsidR="00A20AAF" w:rsidRPr="00A20AAF">
              <w:rPr>
                <w:noProof/>
                <w:webHidden/>
              </w:rPr>
              <w:t>206</w:t>
            </w:r>
            <w:r w:rsidR="00A20AAF" w:rsidRPr="00A20AAF">
              <w:rPr>
                <w:noProof/>
                <w:webHidden/>
              </w:rPr>
              <w:fldChar w:fldCharType="end"/>
            </w:r>
          </w:hyperlink>
        </w:p>
        <w:p w14:paraId="10F42096" w14:textId="32DCAE6D" w:rsidR="00A20AAF" w:rsidRPr="00A20AAF" w:rsidRDefault="00B46A8E">
          <w:pPr>
            <w:pStyle w:val="TOC2"/>
            <w:rPr>
              <w:rFonts w:asciiTheme="minorHAnsi" w:eastAsiaTheme="minorEastAsia" w:hAnsiTheme="minorHAnsi"/>
              <w:noProof/>
              <w:kern w:val="0"/>
              <w:sz w:val="22"/>
              <w:szCs w:val="22"/>
              <w:lang w:eastAsia="en-US"/>
            </w:rPr>
          </w:pPr>
          <w:hyperlink w:anchor="_Toc74258679" w:history="1">
            <w:r w:rsidR="00A20AAF" w:rsidRPr="00A20AAF">
              <w:rPr>
                <w:rStyle w:val="Hyperlink"/>
                <w:noProof/>
                <w:lang w:eastAsia="en-US"/>
              </w:rPr>
              <w:t>Theoretical Framework</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_Toc74258679 \h </w:instrText>
            </w:r>
            <w:r w:rsidR="00A20AAF" w:rsidRPr="00A20AAF">
              <w:rPr>
                <w:noProof/>
                <w:webHidden/>
              </w:rPr>
            </w:r>
            <w:r w:rsidR="00A20AAF" w:rsidRPr="00A20AAF">
              <w:rPr>
                <w:noProof/>
                <w:webHidden/>
              </w:rPr>
              <w:fldChar w:fldCharType="separate"/>
            </w:r>
            <w:r w:rsidR="00A20AAF" w:rsidRPr="00A20AAF">
              <w:rPr>
                <w:noProof/>
                <w:webHidden/>
              </w:rPr>
              <w:t>210</w:t>
            </w:r>
            <w:r w:rsidR="00A20AAF" w:rsidRPr="00A20AAF">
              <w:rPr>
                <w:noProof/>
                <w:webHidden/>
              </w:rPr>
              <w:fldChar w:fldCharType="end"/>
            </w:r>
          </w:hyperlink>
        </w:p>
        <w:p w14:paraId="0092E4D3" w14:textId="2FD85F50" w:rsidR="00A20AAF" w:rsidRPr="00A20AAF" w:rsidRDefault="00B46A8E">
          <w:pPr>
            <w:pStyle w:val="TOC2"/>
            <w:rPr>
              <w:rFonts w:asciiTheme="minorHAnsi" w:eastAsiaTheme="minorEastAsia" w:hAnsiTheme="minorHAnsi"/>
              <w:noProof/>
              <w:kern w:val="0"/>
              <w:sz w:val="22"/>
              <w:szCs w:val="22"/>
              <w:lang w:eastAsia="en-US"/>
            </w:rPr>
          </w:pPr>
          <w:hyperlink w:anchor="_Toc74258680" w:history="1">
            <w:r w:rsidR="00A20AAF" w:rsidRPr="00A20AAF">
              <w:rPr>
                <w:rStyle w:val="Hyperlink"/>
                <w:noProof/>
              </w:rPr>
              <w:t>Job Demands Resources (JD-R) Model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_Toc74258680 \h </w:instrText>
            </w:r>
            <w:r w:rsidR="00A20AAF" w:rsidRPr="00A20AAF">
              <w:rPr>
                <w:noProof/>
                <w:webHidden/>
              </w:rPr>
            </w:r>
            <w:r w:rsidR="00A20AAF" w:rsidRPr="00A20AAF">
              <w:rPr>
                <w:noProof/>
                <w:webHidden/>
              </w:rPr>
              <w:fldChar w:fldCharType="separate"/>
            </w:r>
            <w:r w:rsidR="00A20AAF" w:rsidRPr="00A20AAF">
              <w:rPr>
                <w:noProof/>
                <w:webHidden/>
              </w:rPr>
              <w:t>210</w:t>
            </w:r>
            <w:r w:rsidR="00A20AAF" w:rsidRPr="00A20AAF">
              <w:rPr>
                <w:noProof/>
                <w:webHidden/>
              </w:rPr>
              <w:fldChar w:fldCharType="end"/>
            </w:r>
          </w:hyperlink>
        </w:p>
        <w:p w14:paraId="1E612D53" w14:textId="5DB0E59B" w:rsidR="00A20AAF" w:rsidRPr="00A20AAF" w:rsidRDefault="00B46A8E">
          <w:pPr>
            <w:pStyle w:val="TOC2"/>
            <w:rPr>
              <w:rFonts w:asciiTheme="minorHAnsi" w:eastAsiaTheme="minorEastAsia" w:hAnsiTheme="minorHAnsi"/>
              <w:noProof/>
              <w:kern w:val="0"/>
              <w:sz w:val="22"/>
              <w:szCs w:val="22"/>
              <w:lang w:eastAsia="en-US"/>
            </w:rPr>
          </w:pPr>
          <w:hyperlink w:anchor="_Toc74258681" w:history="1">
            <w:r w:rsidR="00A20AAF" w:rsidRPr="00A20AAF">
              <w:rPr>
                <w:rStyle w:val="Hyperlink"/>
                <w:noProof/>
              </w:rPr>
              <w:t>The Holistic Stress Model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_Toc74258681 \h </w:instrText>
            </w:r>
            <w:r w:rsidR="00A20AAF" w:rsidRPr="00A20AAF">
              <w:rPr>
                <w:noProof/>
                <w:webHidden/>
              </w:rPr>
            </w:r>
            <w:r w:rsidR="00A20AAF" w:rsidRPr="00A20AAF">
              <w:rPr>
                <w:noProof/>
                <w:webHidden/>
              </w:rPr>
              <w:fldChar w:fldCharType="separate"/>
            </w:r>
            <w:r w:rsidR="00A20AAF" w:rsidRPr="00A20AAF">
              <w:rPr>
                <w:noProof/>
                <w:webHidden/>
              </w:rPr>
              <w:t>213</w:t>
            </w:r>
            <w:r w:rsidR="00A20AAF" w:rsidRPr="00A20AAF">
              <w:rPr>
                <w:noProof/>
                <w:webHidden/>
              </w:rPr>
              <w:fldChar w:fldCharType="end"/>
            </w:r>
          </w:hyperlink>
        </w:p>
        <w:p w14:paraId="11148540" w14:textId="02BE0D38" w:rsidR="00A20AAF" w:rsidRPr="00A20AAF" w:rsidRDefault="00B46A8E">
          <w:pPr>
            <w:pStyle w:val="TOC2"/>
            <w:rPr>
              <w:rFonts w:asciiTheme="minorHAnsi" w:eastAsiaTheme="minorEastAsia" w:hAnsiTheme="minorHAnsi"/>
              <w:noProof/>
              <w:kern w:val="0"/>
              <w:sz w:val="22"/>
              <w:szCs w:val="22"/>
              <w:lang w:eastAsia="en-US"/>
            </w:rPr>
          </w:pPr>
          <w:hyperlink w:anchor="_Toc74258682" w:history="1">
            <w:r w:rsidR="00A20AAF" w:rsidRPr="00A20AAF">
              <w:rPr>
                <w:rStyle w:val="Hyperlink"/>
                <w:noProof/>
                <w:lang w:eastAsia="en-US"/>
              </w:rPr>
              <w:t>The Cybersecurity Turnover Intention Model and Associated Hypotheses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_Toc74258682 \h </w:instrText>
            </w:r>
            <w:r w:rsidR="00A20AAF" w:rsidRPr="00A20AAF">
              <w:rPr>
                <w:noProof/>
                <w:webHidden/>
              </w:rPr>
            </w:r>
            <w:r w:rsidR="00A20AAF" w:rsidRPr="00A20AAF">
              <w:rPr>
                <w:noProof/>
                <w:webHidden/>
              </w:rPr>
              <w:fldChar w:fldCharType="separate"/>
            </w:r>
            <w:r w:rsidR="00A20AAF" w:rsidRPr="00A20AAF">
              <w:rPr>
                <w:noProof/>
                <w:webHidden/>
              </w:rPr>
              <w:t>214</w:t>
            </w:r>
            <w:r w:rsidR="00A20AAF" w:rsidRPr="00A20AAF">
              <w:rPr>
                <w:noProof/>
                <w:webHidden/>
              </w:rPr>
              <w:fldChar w:fldCharType="end"/>
            </w:r>
          </w:hyperlink>
        </w:p>
        <w:p w14:paraId="5B489ACA" w14:textId="7E614890" w:rsidR="00A20AAF" w:rsidRPr="00A20AAF" w:rsidRDefault="00B46A8E">
          <w:pPr>
            <w:pStyle w:val="TOC2"/>
            <w:rPr>
              <w:rFonts w:asciiTheme="minorHAnsi" w:eastAsiaTheme="minorEastAsia" w:hAnsiTheme="minorHAnsi"/>
              <w:noProof/>
              <w:kern w:val="0"/>
              <w:sz w:val="22"/>
              <w:szCs w:val="22"/>
              <w:lang w:eastAsia="en-US"/>
            </w:rPr>
          </w:pPr>
          <w:hyperlink w:anchor="_Toc74258683" w:history="1">
            <w:r w:rsidR="00A20AAF" w:rsidRPr="00A20AAF">
              <w:rPr>
                <w:rStyle w:val="Hyperlink"/>
                <w:noProof/>
                <w:lang w:eastAsia="en-US"/>
              </w:rPr>
              <w:t>Method</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_Toc74258683 \h </w:instrText>
            </w:r>
            <w:r w:rsidR="00A20AAF" w:rsidRPr="00A20AAF">
              <w:rPr>
                <w:noProof/>
                <w:webHidden/>
              </w:rPr>
            </w:r>
            <w:r w:rsidR="00A20AAF" w:rsidRPr="00A20AAF">
              <w:rPr>
                <w:noProof/>
                <w:webHidden/>
              </w:rPr>
              <w:fldChar w:fldCharType="separate"/>
            </w:r>
            <w:r w:rsidR="00A20AAF" w:rsidRPr="00A20AAF">
              <w:rPr>
                <w:noProof/>
                <w:webHidden/>
              </w:rPr>
              <w:t>226</w:t>
            </w:r>
            <w:r w:rsidR="00A20AAF" w:rsidRPr="00A20AAF">
              <w:rPr>
                <w:noProof/>
                <w:webHidden/>
              </w:rPr>
              <w:fldChar w:fldCharType="end"/>
            </w:r>
          </w:hyperlink>
        </w:p>
        <w:p w14:paraId="0B6711DD" w14:textId="240FBF0A" w:rsidR="00A20AAF" w:rsidRPr="00A20AAF" w:rsidRDefault="00B46A8E">
          <w:pPr>
            <w:pStyle w:val="TOC2"/>
            <w:rPr>
              <w:rFonts w:asciiTheme="minorHAnsi" w:eastAsiaTheme="minorEastAsia" w:hAnsiTheme="minorHAnsi"/>
              <w:noProof/>
              <w:kern w:val="0"/>
              <w:sz w:val="22"/>
              <w:szCs w:val="22"/>
              <w:lang w:eastAsia="en-US"/>
            </w:rPr>
          </w:pPr>
          <w:hyperlink w:anchor="_Toc74258684" w:history="1">
            <w:r w:rsidR="00A20AAF" w:rsidRPr="00A20AAF">
              <w:rPr>
                <w:rStyle w:val="Hyperlink"/>
                <w:noProof/>
                <w:lang w:eastAsia="en-US"/>
              </w:rPr>
              <w:t>Delphi Design</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_Toc74258684 \h </w:instrText>
            </w:r>
            <w:r w:rsidR="00A20AAF" w:rsidRPr="00A20AAF">
              <w:rPr>
                <w:noProof/>
                <w:webHidden/>
              </w:rPr>
            </w:r>
            <w:r w:rsidR="00A20AAF" w:rsidRPr="00A20AAF">
              <w:rPr>
                <w:noProof/>
                <w:webHidden/>
              </w:rPr>
              <w:fldChar w:fldCharType="separate"/>
            </w:r>
            <w:r w:rsidR="00A20AAF" w:rsidRPr="00A20AAF">
              <w:rPr>
                <w:noProof/>
                <w:webHidden/>
              </w:rPr>
              <w:t>226</w:t>
            </w:r>
            <w:r w:rsidR="00A20AAF" w:rsidRPr="00A20AAF">
              <w:rPr>
                <w:noProof/>
                <w:webHidden/>
              </w:rPr>
              <w:fldChar w:fldCharType="end"/>
            </w:r>
          </w:hyperlink>
        </w:p>
        <w:p w14:paraId="0C24F83F" w14:textId="3ADC2D8F" w:rsidR="00A20AAF" w:rsidRPr="00A20AAF" w:rsidRDefault="00B46A8E">
          <w:pPr>
            <w:pStyle w:val="TOC2"/>
            <w:rPr>
              <w:rFonts w:asciiTheme="minorHAnsi" w:eastAsiaTheme="minorEastAsia" w:hAnsiTheme="minorHAnsi"/>
              <w:noProof/>
              <w:kern w:val="0"/>
              <w:sz w:val="22"/>
              <w:szCs w:val="22"/>
              <w:lang w:eastAsia="en-US"/>
            </w:rPr>
          </w:pPr>
          <w:hyperlink w:anchor="_Toc74258685" w:history="1">
            <w:r w:rsidR="00A20AAF" w:rsidRPr="00A20AAF">
              <w:rPr>
                <w:rStyle w:val="Hyperlink"/>
                <w:noProof/>
                <w:lang w:eastAsia="en-US"/>
              </w:rPr>
              <w:t>Temporally Separated Survey Design</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_Toc74258685 \h </w:instrText>
            </w:r>
            <w:r w:rsidR="00A20AAF" w:rsidRPr="00A20AAF">
              <w:rPr>
                <w:noProof/>
                <w:webHidden/>
              </w:rPr>
            </w:r>
            <w:r w:rsidR="00A20AAF" w:rsidRPr="00A20AAF">
              <w:rPr>
                <w:noProof/>
                <w:webHidden/>
              </w:rPr>
              <w:fldChar w:fldCharType="separate"/>
            </w:r>
            <w:r w:rsidR="00A20AAF" w:rsidRPr="00A20AAF">
              <w:rPr>
                <w:noProof/>
                <w:webHidden/>
              </w:rPr>
              <w:t>228</w:t>
            </w:r>
            <w:r w:rsidR="00A20AAF" w:rsidRPr="00A20AAF">
              <w:rPr>
                <w:noProof/>
                <w:webHidden/>
              </w:rPr>
              <w:fldChar w:fldCharType="end"/>
            </w:r>
          </w:hyperlink>
        </w:p>
        <w:p w14:paraId="01543BC4" w14:textId="5E7B9C8A" w:rsidR="00A20AAF" w:rsidRPr="00A20AAF" w:rsidRDefault="00B46A8E">
          <w:pPr>
            <w:pStyle w:val="TOC2"/>
            <w:rPr>
              <w:rFonts w:asciiTheme="minorHAnsi" w:eastAsiaTheme="minorEastAsia" w:hAnsiTheme="minorHAnsi"/>
              <w:noProof/>
              <w:kern w:val="0"/>
              <w:sz w:val="22"/>
              <w:szCs w:val="22"/>
              <w:lang w:eastAsia="en-US"/>
            </w:rPr>
          </w:pPr>
          <w:hyperlink w:anchor="_Toc74258686" w:history="1">
            <w:r w:rsidR="00A20AAF" w:rsidRPr="00A20AAF">
              <w:rPr>
                <w:rStyle w:val="Hyperlink"/>
                <w:noProof/>
              </w:rPr>
              <w:t>Instrument Development</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_Toc74258686 \h </w:instrText>
            </w:r>
            <w:r w:rsidR="00A20AAF" w:rsidRPr="00A20AAF">
              <w:rPr>
                <w:noProof/>
                <w:webHidden/>
              </w:rPr>
            </w:r>
            <w:r w:rsidR="00A20AAF" w:rsidRPr="00A20AAF">
              <w:rPr>
                <w:noProof/>
                <w:webHidden/>
              </w:rPr>
              <w:fldChar w:fldCharType="separate"/>
            </w:r>
            <w:r w:rsidR="00A20AAF" w:rsidRPr="00A20AAF">
              <w:rPr>
                <w:noProof/>
                <w:webHidden/>
              </w:rPr>
              <w:t>228</w:t>
            </w:r>
            <w:r w:rsidR="00A20AAF" w:rsidRPr="00A20AAF">
              <w:rPr>
                <w:noProof/>
                <w:webHidden/>
              </w:rPr>
              <w:fldChar w:fldCharType="end"/>
            </w:r>
          </w:hyperlink>
        </w:p>
        <w:p w14:paraId="17858E7F" w14:textId="56ECD10C" w:rsidR="00A20AAF" w:rsidRPr="00A20AAF" w:rsidRDefault="00B46A8E">
          <w:pPr>
            <w:pStyle w:val="TOC2"/>
            <w:rPr>
              <w:rFonts w:asciiTheme="minorHAnsi" w:eastAsiaTheme="minorEastAsia" w:hAnsiTheme="minorHAnsi"/>
              <w:noProof/>
              <w:kern w:val="0"/>
              <w:sz w:val="22"/>
              <w:szCs w:val="22"/>
              <w:lang w:eastAsia="en-US"/>
            </w:rPr>
          </w:pPr>
          <w:hyperlink w:anchor="_Toc74258687" w:history="1">
            <w:r w:rsidR="00A20AAF" w:rsidRPr="00A20AAF">
              <w:rPr>
                <w:rStyle w:val="Hyperlink"/>
                <w:noProof/>
                <w:lang w:eastAsia="en-US"/>
              </w:rPr>
              <w:t>Current Status and Next Steps</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_Toc74258687 \h </w:instrText>
            </w:r>
            <w:r w:rsidR="00A20AAF" w:rsidRPr="00A20AAF">
              <w:rPr>
                <w:noProof/>
                <w:webHidden/>
              </w:rPr>
            </w:r>
            <w:r w:rsidR="00A20AAF" w:rsidRPr="00A20AAF">
              <w:rPr>
                <w:noProof/>
                <w:webHidden/>
              </w:rPr>
              <w:fldChar w:fldCharType="separate"/>
            </w:r>
            <w:r w:rsidR="00A20AAF" w:rsidRPr="00A20AAF">
              <w:rPr>
                <w:noProof/>
                <w:webHidden/>
              </w:rPr>
              <w:t>230</w:t>
            </w:r>
            <w:r w:rsidR="00A20AAF" w:rsidRPr="00A20AAF">
              <w:rPr>
                <w:noProof/>
                <w:webHidden/>
              </w:rPr>
              <w:fldChar w:fldCharType="end"/>
            </w:r>
          </w:hyperlink>
        </w:p>
        <w:p w14:paraId="79B84BC4" w14:textId="3D02104B" w:rsidR="00A20AAF" w:rsidRPr="00A20AAF" w:rsidRDefault="00B46A8E">
          <w:pPr>
            <w:pStyle w:val="TOC2"/>
            <w:rPr>
              <w:rFonts w:asciiTheme="minorHAnsi" w:eastAsiaTheme="minorEastAsia" w:hAnsiTheme="minorHAnsi"/>
              <w:noProof/>
              <w:kern w:val="0"/>
              <w:sz w:val="22"/>
              <w:szCs w:val="22"/>
              <w:lang w:eastAsia="en-US"/>
            </w:rPr>
          </w:pPr>
          <w:hyperlink w:anchor="_Toc74258688" w:history="1">
            <w:r w:rsidR="00A20AAF" w:rsidRPr="00A20AAF">
              <w:rPr>
                <w:rStyle w:val="Hyperlink"/>
                <w:noProof/>
              </w:rPr>
              <w:t>References for Appendix 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_Toc74258688 \h </w:instrText>
            </w:r>
            <w:r w:rsidR="00A20AAF" w:rsidRPr="00A20AAF">
              <w:rPr>
                <w:noProof/>
                <w:webHidden/>
              </w:rPr>
            </w:r>
            <w:r w:rsidR="00A20AAF" w:rsidRPr="00A20AAF">
              <w:rPr>
                <w:noProof/>
                <w:webHidden/>
              </w:rPr>
              <w:fldChar w:fldCharType="separate"/>
            </w:r>
            <w:r w:rsidR="00A20AAF" w:rsidRPr="00A20AAF">
              <w:rPr>
                <w:noProof/>
                <w:webHidden/>
              </w:rPr>
              <w:t>231</w:t>
            </w:r>
            <w:r w:rsidR="00A20AAF" w:rsidRPr="00A20AAF">
              <w:rPr>
                <w:noProof/>
                <w:webHidden/>
              </w:rPr>
              <w:fldChar w:fldCharType="end"/>
            </w:r>
          </w:hyperlink>
        </w:p>
        <w:p w14:paraId="2E3F9B4C" w14:textId="20A8C873" w:rsidR="00A20AAF" w:rsidRPr="00A20AAF" w:rsidRDefault="00B46A8E">
          <w:pPr>
            <w:pStyle w:val="TOC2"/>
            <w:rPr>
              <w:rFonts w:asciiTheme="minorHAnsi" w:eastAsiaTheme="minorEastAsia" w:hAnsiTheme="minorHAnsi"/>
              <w:noProof/>
              <w:kern w:val="0"/>
              <w:sz w:val="22"/>
              <w:szCs w:val="22"/>
              <w:lang w:eastAsia="en-US"/>
            </w:rPr>
          </w:pPr>
          <w:hyperlink w:anchor="_Toc74258689" w:history="1">
            <w:r w:rsidR="00A20AAF" w:rsidRPr="00A20AAF">
              <w:rPr>
                <w:rStyle w:val="Hyperlink"/>
                <w:noProof/>
              </w:rPr>
              <w:t>Appendix L.1 Definitions of Constructs in the Research Model</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_Toc74258689 \h </w:instrText>
            </w:r>
            <w:r w:rsidR="00A20AAF" w:rsidRPr="00A20AAF">
              <w:rPr>
                <w:noProof/>
                <w:webHidden/>
              </w:rPr>
            </w:r>
            <w:r w:rsidR="00A20AAF" w:rsidRPr="00A20AAF">
              <w:rPr>
                <w:noProof/>
                <w:webHidden/>
              </w:rPr>
              <w:fldChar w:fldCharType="separate"/>
            </w:r>
            <w:r w:rsidR="00A20AAF" w:rsidRPr="00A20AAF">
              <w:rPr>
                <w:noProof/>
                <w:webHidden/>
              </w:rPr>
              <w:t>237</w:t>
            </w:r>
            <w:r w:rsidR="00A20AAF" w:rsidRPr="00A20AAF">
              <w:rPr>
                <w:noProof/>
                <w:webHidden/>
              </w:rPr>
              <w:fldChar w:fldCharType="end"/>
            </w:r>
          </w:hyperlink>
        </w:p>
        <w:p w14:paraId="593582DB" w14:textId="193CFABB" w:rsidR="00A20AAF" w:rsidRPr="00A20AAF" w:rsidRDefault="00B46A8E">
          <w:pPr>
            <w:pStyle w:val="TOC2"/>
            <w:rPr>
              <w:rFonts w:asciiTheme="minorHAnsi" w:eastAsiaTheme="minorEastAsia" w:hAnsiTheme="minorHAnsi"/>
              <w:noProof/>
              <w:kern w:val="0"/>
              <w:sz w:val="22"/>
              <w:szCs w:val="22"/>
              <w:lang w:eastAsia="en-US"/>
            </w:rPr>
          </w:pPr>
          <w:hyperlink w:anchor="_Toc74258690" w:history="1">
            <w:r w:rsidR="00A20AAF" w:rsidRPr="00A20AAF">
              <w:rPr>
                <w:rStyle w:val="Hyperlink"/>
                <w:noProof/>
              </w:rPr>
              <w:t>Appendix L.2 Delphi Study</w:t>
            </w:r>
            <w:r w:rsidR="00A20AAF" w:rsidRPr="00A20AAF">
              <w:rPr>
                <w:noProof/>
                <w:webHidden/>
              </w:rPr>
              <w:tab/>
            </w:r>
            <w:r w:rsidR="00A20AAF" w:rsidRPr="00A20AAF">
              <w:rPr>
                <w:noProof/>
                <w:webHidden/>
              </w:rPr>
              <w:fldChar w:fldCharType="begin"/>
            </w:r>
            <w:r w:rsidR="00A20AAF" w:rsidRPr="00A20AAF">
              <w:rPr>
                <w:noProof/>
                <w:webHidden/>
              </w:rPr>
              <w:instrText xml:space="preserve"> PAGEREF _Toc74258690 \h </w:instrText>
            </w:r>
            <w:r w:rsidR="00A20AAF" w:rsidRPr="00A20AAF">
              <w:rPr>
                <w:noProof/>
                <w:webHidden/>
              </w:rPr>
            </w:r>
            <w:r w:rsidR="00A20AAF" w:rsidRPr="00A20AAF">
              <w:rPr>
                <w:noProof/>
                <w:webHidden/>
              </w:rPr>
              <w:fldChar w:fldCharType="separate"/>
            </w:r>
            <w:r w:rsidR="00A20AAF" w:rsidRPr="00A20AAF">
              <w:rPr>
                <w:noProof/>
                <w:webHidden/>
              </w:rPr>
              <w:t>239</w:t>
            </w:r>
            <w:r w:rsidR="00A20AAF" w:rsidRPr="00A20AAF">
              <w:rPr>
                <w:noProof/>
                <w:webHidden/>
              </w:rPr>
              <w:fldChar w:fldCharType="end"/>
            </w:r>
          </w:hyperlink>
        </w:p>
        <w:p w14:paraId="74E9FA00" w14:textId="3824B527" w:rsidR="00A20AAF" w:rsidRPr="00A20AAF" w:rsidRDefault="00B46A8E" w:rsidP="00A20AAF">
          <w:pPr>
            <w:pStyle w:val="TOC1"/>
            <w:rPr>
              <w:rFonts w:asciiTheme="minorHAnsi" w:eastAsiaTheme="minorEastAsia" w:hAnsiTheme="minorHAnsi"/>
              <w:kern w:val="0"/>
              <w:sz w:val="22"/>
              <w:szCs w:val="22"/>
              <w:lang w:eastAsia="en-US"/>
            </w:rPr>
          </w:pPr>
          <w:hyperlink w:anchor="_Toc74258691" w:history="1">
            <w:r w:rsidR="00A20AAF" w:rsidRPr="00A20AAF">
              <w:rPr>
                <w:rStyle w:val="Hyperlink"/>
                <w:lang w:eastAsia="en-US"/>
              </w:rPr>
              <w:t>CONCLUSION</w:t>
            </w:r>
            <w:r w:rsidR="00A20AAF" w:rsidRPr="00A20AAF">
              <w:rPr>
                <w:webHidden/>
              </w:rPr>
              <w:tab/>
            </w:r>
            <w:r w:rsidR="00A20AAF" w:rsidRPr="00A20AAF">
              <w:rPr>
                <w:webHidden/>
              </w:rPr>
              <w:fldChar w:fldCharType="begin"/>
            </w:r>
            <w:r w:rsidR="00A20AAF" w:rsidRPr="00A20AAF">
              <w:rPr>
                <w:webHidden/>
              </w:rPr>
              <w:instrText xml:space="preserve"> PAGEREF _Toc74258691 \h </w:instrText>
            </w:r>
            <w:r w:rsidR="00A20AAF" w:rsidRPr="00A20AAF">
              <w:rPr>
                <w:webHidden/>
              </w:rPr>
            </w:r>
            <w:r w:rsidR="00A20AAF" w:rsidRPr="00A20AAF">
              <w:rPr>
                <w:webHidden/>
              </w:rPr>
              <w:fldChar w:fldCharType="separate"/>
            </w:r>
            <w:r w:rsidR="00A20AAF" w:rsidRPr="00A20AAF">
              <w:rPr>
                <w:webHidden/>
              </w:rPr>
              <w:t>245</w:t>
            </w:r>
            <w:r w:rsidR="00A20AAF" w:rsidRPr="00A20AAF">
              <w:rPr>
                <w:webHidden/>
              </w:rPr>
              <w:fldChar w:fldCharType="end"/>
            </w:r>
          </w:hyperlink>
        </w:p>
        <w:p w14:paraId="4F28C829" w14:textId="0FBE9852" w:rsidR="00A20AAF" w:rsidRPr="00A20AAF" w:rsidRDefault="00B46A8E" w:rsidP="00A20AAF">
          <w:pPr>
            <w:pStyle w:val="TOC1"/>
            <w:rPr>
              <w:rFonts w:asciiTheme="minorHAnsi" w:eastAsiaTheme="minorEastAsia" w:hAnsiTheme="minorHAnsi"/>
              <w:kern w:val="0"/>
              <w:sz w:val="22"/>
              <w:szCs w:val="22"/>
              <w:lang w:eastAsia="en-US"/>
            </w:rPr>
          </w:pPr>
          <w:hyperlink w:anchor="_Toc74258692" w:history="1">
            <w:r w:rsidR="00A20AAF" w:rsidRPr="00A20AAF">
              <w:rPr>
                <w:rStyle w:val="Hyperlink"/>
              </w:rPr>
              <w:t>APPENDIX</w:t>
            </w:r>
            <w:r w:rsidR="00A20AAF" w:rsidRPr="00A20AAF">
              <w:rPr>
                <w:webHidden/>
              </w:rPr>
              <w:tab/>
            </w:r>
            <w:r w:rsidR="00A20AAF" w:rsidRPr="00A20AAF">
              <w:rPr>
                <w:webHidden/>
              </w:rPr>
              <w:fldChar w:fldCharType="begin"/>
            </w:r>
            <w:r w:rsidR="00A20AAF" w:rsidRPr="00A20AAF">
              <w:rPr>
                <w:webHidden/>
              </w:rPr>
              <w:instrText xml:space="preserve"> PAGEREF _Toc74258692 \h </w:instrText>
            </w:r>
            <w:r w:rsidR="00A20AAF" w:rsidRPr="00A20AAF">
              <w:rPr>
                <w:webHidden/>
              </w:rPr>
            </w:r>
            <w:r w:rsidR="00A20AAF" w:rsidRPr="00A20AAF">
              <w:rPr>
                <w:webHidden/>
              </w:rPr>
              <w:fldChar w:fldCharType="separate"/>
            </w:r>
            <w:r w:rsidR="00A20AAF" w:rsidRPr="00A20AAF">
              <w:rPr>
                <w:webHidden/>
              </w:rPr>
              <w:t>246</w:t>
            </w:r>
            <w:r w:rsidR="00A20AAF" w:rsidRPr="00A20AAF">
              <w:rPr>
                <w:webHidden/>
              </w:rPr>
              <w:fldChar w:fldCharType="end"/>
            </w:r>
          </w:hyperlink>
        </w:p>
        <w:p w14:paraId="3805655F" w14:textId="6A93B7F7" w:rsidR="003E5B95" w:rsidRPr="006571C2" w:rsidRDefault="003E5B95">
          <w:r w:rsidRPr="00177D4B">
            <w:rPr>
              <w:rFonts w:cs="Times New Roman"/>
              <w:bCs/>
              <w:noProof/>
              <w:szCs w:val="24"/>
            </w:rPr>
            <w:fldChar w:fldCharType="end"/>
          </w:r>
        </w:p>
      </w:sdtContent>
    </w:sdt>
    <w:p w14:paraId="6EA4D335" w14:textId="77777777" w:rsidR="00177D4B" w:rsidRDefault="00177D4B" w:rsidP="003E5B95">
      <w:pPr>
        <w:pStyle w:val="Heading1"/>
        <w:rPr>
          <w:rStyle w:val="Heading1Char"/>
        </w:rPr>
        <w:sectPr w:rsidR="00177D4B" w:rsidSect="003E5B95">
          <w:pgSz w:w="12240" w:h="15840"/>
          <w:pgMar w:top="2880" w:right="1440" w:bottom="1440" w:left="1440" w:header="720" w:footer="720" w:gutter="0"/>
          <w:pgNumType w:fmt="lowerRoman"/>
          <w:cols w:space="720"/>
          <w:titlePg/>
          <w:docGrid w:linePitch="360"/>
        </w:sectPr>
      </w:pPr>
      <w:bookmarkStart w:id="21" w:name="_Toc74045205"/>
      <w:bookmarkStart w:id="22" w:name="_Toc74087490"/>
      <w:bookmarkStart w:id="23" w:name="_Toc40175841"/>
      <w:bookmarkStart w:id="24" w:name="_Toc40296585"/>
      <w:bookmarkStart w:id="25" w:name="_Toc40891203"/>
    </w:p>
    <w:p w14:paraId="0CFC9740" w14:textId="066F15D2" w:rsidR="003E5B95" w:rsidRDefault="003E5B95" w:rsidP="003E5B95">
      <w:pPr>
        <w:pStyle w:val="Heading1"/>
        <w:rPr>
          <w:rStyle w:val="Heading1Char"/>
        </w:rPr>
      </w:pPr>
      <w:bookmarkStart w:id="26" w:name="_Toc74258606"/>
      <w:r w:rsidRPr="00A53F4F">
        <w:rPr>
          <w:rStyle w:val="Heading1Char"/>
        </w:rPr>
        <w:lastRenderedPageBreak/>
        <w:t>LIST OF TABLES</w:t>
      </w:r>
      <w:bookmarkEnd w:id="21"/>
      <w:bookmarkEnd w:id="22"/>
      <w:bookmarkEnd w:id="26"/>
    </w:p>
    <w:p w14:paraId="51431BD6" w14:textId="489E53E7" w:rsidR="003E5B95" w:rsidRPr="006B1A52" w:rsidRDefault="003E5B95">
      <w:pPr>
        <w:pStyle w:val="TableofFigures"/>
        <w:tabs>
          <w:tab w:val="right" w:leader="dot" w:pos="9350"/>
        </w:tabs>
        <w:rPr>
          <w:rFonts w:asciiTheme="minorHAnsi" w:eastAsiaTheme="minorEastAsia" w:hAnsiTheme="minorHAnsi" w:cstheme="minorBidi"/>
          <w:b w:val="0"/>
          <w:bCs w:val="0"/>
          <w:noProof/>
          <w:kern w:val="0"/>
          <w:sz w:val="22"/>
          <w:szCs w:val="22"/>
          <w:lang w:eastAsia="en-US"/>
        </w:rPr>
      </w:pPr>
      <w:r w:rsidRPr="006B1A52">
        <w:rPr>
          <w:b w:val="0"/>
          <w:bCs w:val="0"/>
          <w:color w:val="000000" w:themeColor="text1"/>
        </w:rPr>
        <w:fldChar w:fldCharType="begin"/>
      </w:r>
      <w:r w:rsidRPr="006B1A52">
        <w:rPr>
          <w:b w:val="0"/>
          <w:bCs w:val="0"/>
          <w:color w:val="000000" w:themeColor="text1"/>
        </w:rPr>
        <w:instrText xml:space="preserve"> TOC \h \z \c "Table" </w:instrText>
      </w:r>
      <w:r w:rsidRPr="006B1A52">
        <w:rPr>
          <w:b w:val="0"/>
          <w:bCs w:val="0"/>
          <w:color w:val="000000" w:themeColor="text1"/>
        </w:rPr>
        <w:fldChar w:fldCharType="separate"/>
      </w:r>
      <w:hyperlink w:anchor="_Toc74074412" w:history="1">
        <w:r w:rsidRPr="006B1A52">
          <w:rPr>
            <w:rStyle w:val="Hyperlink"/>
            <w:b w:val="0"/>
            <w:bCs w:val="0"/>
            <w:noProof/>
          </w:rPr>
          <w:t>Table 1</w:t>
        </w:r>
        <w:r w:rsidR="007D5BEC">
          <w:rPr>
            <w:rStyle w:val="Hyperlink"/>
            <w:b w:val="0"/>
            <w:bCs w:val="0"/>
            <w:noProof/>
          </w:rPr>
          <w:t>:</w:t>
        </w:r>
        <w:r>
          <w:rPr>
            <w:rStyle w:val="Hyperlink"/>
            <w:b w:val="0"/>
            <w:bCs w:val="0"/>
            <w:noProof/>
          </w:rPr>
          <w:t xml:space="preserve"> Summary of Essays</w:t>
        </w:r>
        <w:r w:rsidRPr="006B1A52">
          <w:rPr>
            <w:b w:val="0"/>
            <w:bCs w:val="0"/>
            <w:noProof/>
            <w:webHidden/>
          </w:rPr>
          <w:tab/>
        </w:r>
        <w:r w:rsidRPr="006B1A52">
          <w:rPr>
            <w:b w:val="0"/>
            <w:bCs w:val="0"/>
            <w:noProof/>
            <w:webHidden/>
          </w:rPr>
          <w:fldChar w:fldCharType="begin"/>
        </w:r>
        <w:r w:rsidRPr="006B1A52">
          <w:rPr>
            <w:b w:val="0"/>
            <w:bCs w:val="0"/>
            <w:noProof/>
            <w:webHidden/>
          </w:rPr>
          <w:instrText xml:space="preserve"> PAGEREF _Toc74074412 \h </w:instrText>
        </w:r>
        <w:r w:rsidRPr="006B1A52">
          <w:rPr>
            <w:b w:val="0"/>
            <w:bCs w:val="0"/>
            <w:noProof/>
            <w:webHidden/>
          </w:rPr>
        </w:r>
        <w:r w:rsidRPr="006B1A52">
          <w:rPr>
            <w:b w:val="0"/>
            <w:bCs w:val="0"/>
            <w:noProof/>
            <w:webHidden/>
          </w:rPr>
          <w:fldChar w:fldCharType="separate"/>
        </w:r>
        <w:r w:rsidR="00FF336A">
          <w:rPr>
            <w:b w:val="0"/>
            <w:bCs w:val="0"/>
            <w:noProof/>
            <w:webHidden/>
          </w:rPr>
          <w:t>2</w:t>
        </w:r>
        <w:r w:rsidRPr="006B1A52">
          <w:rPr>
            <w:b w:val="0"/>
            <w:bCs w:val="0"/>
            <w:noProof/>
            <w:webHidden/>
          </w:rPr>
          <w:fldChar w:fldCharType="end"/>
        </w:r>
      </w:hyperlink>
    </w:p>
    <w:p w14:paraId="168FB351" w14:textId="78353FEE"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3" w:history="1">
        <w:r w:rsidR="003E5B95" w:rsidRPr="006B1A52">
          <w:rPr>
            <w:rStyle w:val="Hyperlink"/>
            <w:b w:val="0"/>
            <w:bCs w:val="0"/>
            <w:noProof/>
          </w:rPr>
          <w:t>Table 2</w:t>
        </w:r>
        <w:r w:rsidR="007D5BEC">
          <w:rPr>
            <w:rStyle w:val="Hyperlink"/>
            <w:b w:val="0"/>
            <w:bCs w:val="0"/>
            <w:noProof/>
          </w:rPr>
          <w:t>:</w:t>
        </w:r>
        <w:r w:rsidR="003E5B95">
          <w:rPr>
            <w:rStyle w:val="Hyperlink"/>
            <w:b w:val="0"/>
            <w:bCs w:val="0"/>
            <w:noProof/>
          </w:rPr>
          <w:t xml:space="preserve"> Stressors in InfoSec Context</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_Toc74074413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w:t>
        </w:r>
        <w:r w:rsidR="00FF336A">
          <w:rPr>
            <w:b w:val="0"/>
            <w:bCs w:val="0"/>
            <w:noProof/>
            <w:webHidden/>
          </w:rPr>
          <w:t>6</w:t>
        </w:r>
        <w:r w:rsidR="003E5B95" w:rsidRPr="006B1A52">
          <w:rPr>
            <w:b w:val="0"/>
            <w:bCs w:val="0"/>
            <w:noProof/>
            <w:webHidden/>
          </w:rPr>
          <w:fldChar w:fldCharType="end"/>
        </w:r>
      </w:hyperlink>
    </w:p>
    <w:p w14:paraId="21DEE459" w14:textId="75CF517D"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4" w:history="1">
        <w:r w:rsidR="003E5B95" w:rsidRPr="006B1A52">
          <w:rPr>
            <w:rStyle w:val="Hyperlink"/>
            <w:b w:val="0"/>
            <w:bCs w:val="0"/>
            <w:noProof/>
          </w:rPr>
          <w:t xml:space="preserve">Table </w:t>
        </w:r>
        <w:r w:rsidR="003E5B95">
          <w:rPr>
            <w:rStyle w:val="Hyperlink"/>
            <w:b w:val="0"/>
            <w:bCs w:val="0"/>
            <w:noProof/>
          </w:rPr>
          <w:t>A1</w:t>
        </w:r>
        <w:r w:rsidR="007D5BEC">
          <w:rPr>
            <w:rStyle w:val="Hyperlink"/>
            <w:b w:val="0"/>
            <w:bCs w:val="0"/>
            <w:noProof/>
          </w:rPr>
          <w:t>:</w:t>
        </w:r>
        <w:r w:rsidR="003E5B95" w:rsidRPr="006B1A52">
          <w:rPr>
            <w:rStyle w:val="Hyperlink"/>
            <w:b w:val="0"/>
            <w:bCs w:val="0"/>
            <w:noProof/>
          </w:rPr>
          <w:t xml:space="preserve"> Summary of Stress, Burnout, and Exhaustion</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_Toc74074414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6</w:t>
        </w:r>
        <w:r w:rsidR="00FF336A">
          <w:rPr>
            <w:b w:val="0"/>
            <w:bCs w:val="0"/>
            <w:noProof/>
            <w:webHidden/>
          </w:rPr>
          <w:t>1</w:t>
        </w:r>
        <w:r w:rsidR="003E5B95" w:rsidRPr="006B1A52">
          <w:rPr>
            <w:b w:val="0"/>
            <w:bCs w:val="0"/>
            <w:noProof/>
            <w:webHidden/>
          </w:rPr>
          <w:fldChar w:fldCharType="end"/>
        </w:r>
      </w:hyperlink>
    </w:p>
    <w:p w14:paraId="7EEAED77" w14:textId="7A7B44AA"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5" w:history="1">
        <w:r w:rsidR="003E5B95" w:rsidRPr="006B1A52">
          <w:rPr>
            <w:rStyle w:val="Hyperlink"/>
            <w:b w:val="0"/>
            <w:bCs w:val="0"/>
            <w:noProof/>
          </w:rPr>
          <w:t xml:space="preserve">Table </w:t>
        </w:r>
        <w:r w:rsidR="003E5B95">
          <w:rPr>
            <w:rStyle w:val="Hyperlink"/>
            <w:b w:val="0"/>
            <w:bCs w:val="0"/>
            <w:noProof/>
          </w:rPr>
          <w:t>B1</w:t>
        </w:r>
        <w:r w:rsidR="007D5BEC">
          <w:rPr>
            <w:rStyle w:val="Hyperlink"/>
            <w:b w:val="0"/>
            <w:bCs w:val="0"/>
            <w:noProof/>
          </w:rPr>
          <w:t>:</w:t>
        </w:r>
        <w:r w:rsidR="003E5B95" w:rsidRPr="006B1A52">
          <w:rPr>
            <w:rStyle w:val="Hyperlink"/>
            <w:b w:val="0"/>
            <w:bCs w:val="0"/>
            <w:noProof/>
          </w:rPr>
          <w:t xml:space="preserve"> Articles</w:t>
        </w:r>
        <w:r w:rsidR="00426168">
          <w:rPr>
            <w:rStyle w:val="Hyperlink"/>
            <w:b w:val="0"/>
            <w:bCs w:val="0"/>
            <w:noProof/>
          </w:rPr>
          <w:t xml:space="preserve"> </w:t>
        </w:r>
        <w:r w:rsidR="003E5B95" w:rsidRPr="006B1A52">
          <w:rPr>
            <w:rStyle w:val="Hyperlink"/>
            <w:b w:val="0"/>
            <w:bCs w:val="0"/>
            <w:noProof/>
          </w:rPr>
          <w:t>and Reasons for Exclusion</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_Toc74074415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66</w:t>
        </w:r>
        <w:r w:rsidR="003E5B95" w:rsidRPr="006B1A52">
          <w:rPr>
            <w:b w:val="0"/>
            <w:bCs w:val="0"/>
            <w:noProof/>
            <w:webHidden/>
          </w:rPr>
          <w:fldChar w:fldCharType="end"/>
        </w:r>
      </w:hyperlink>
    </w:p>
    <w:p w14:paraId="15A4E4D8" w14:textId="6BF64624"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6" w:history="1">
        <w:r w:rsidR="003E5B95" w:rsidRPr="006B1A52">
          <w:rPr>
            <w:rStyle w:val="Hyperlink"/>
            <w:b w:val="0"/>
            <w:bCs w:val="0"/>
            <w:noProof/>
          </w:rPr>
          <w:t xml:space="preserve">Table </w:t>
        </w:r>
        <w:r w:rsidR="003E5B95">
          <w:rPr>
            <w:rStyle w:val="Hyperlink"/>
            <w:b w:val="0"/>
            <w:bCs w:val="0"/>
            <w:noProof/>
          </w:rPr>
          <w:t>C1</w:t>
        </w:r>
        <w:r w:rsidR="007D5BEC">
          <w:rPr>
            <w:rStyle w:val="Hyperlink"/>
            <w:b w:val="0"/>
            <w:bCs w:val="0"/>
            <w:noProof/>
          </w:rPr>
          <w:t>:</w:t>
        </w:r>
        <w:r w:rsidR="003E5B95" w:rsidRPr="006B1A52">
          <w:rPr>
            <w:rStyle w:val="Hyperlink"/>
            <w:b w:val="0"/>
            <w:bCs w:val="0"/>
            <w:noProof/>
          </w:rPr>
          <w:t xml:space="preserve"> Synthesis of Literature as per McGrath’s (1970) Stress Process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_Toc74074416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90</w:t>
        </w:r>
        <w:r w:rsidR="003E5B95" w:rsidRPr="006B1A52">
          <w:rPr>
            <w:b w:val="0"/>
            <w:bCs w:val="0"/>
            <w:noProof/>
            <w:webHidden/>
          </w:rPr>
          <w:fldChar w:fldCharType="end"/>
        </w:r>
      </w:hyperlink>
    </w:p>
    <w:p w14:paraId="71EBFA9F" w14:textId="0180557B"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7" w:history="1">
        <w:r w:rsidR="003E5B95" w:rsidRPr="006B1A52">
          <w:rPr>
            <w:rStyle w:val="Hyperlink"/>
            <w:b w:val="0"/>
            <w:bCs w:val="0"/>
            <w:noProof/>
          </w:rPr>
          <w:t xml:space="preserve">Table </w:t>
        </w:r>
        <w:r w:rsidR="003E5B95">
          <w:rPr>
            <w:rStyle w:val="Hyperlink"/>
            <w:b w:val="0"/>
            <w:bCs w:val="0"/>
            <w:noProof/>
          </w:rPr>
          <w:t>3</w:t>
        </w:r>
        <w:r w:rsidR="007D5BEC">
          <w:rPr>
            <w:rStyle w:val="Hyperlink"/>
            <w:b w:val="0"/>
            <w:bCs w:val="0"/>
            <w:noProof/>
          </w:rPr>
          <w:t>:</w:t>
        </w:r>
        <w:r w:rsidR="003E5B95" w:rsidRPr="006B1A52">
          <w:rPr>
            <w:rStyle w:val="Hyperlink"/>
            <w:b w:val="0"/>
            <w:bCs w:val="0"/>
            <w:noProof/>
          </w:rPr>
          <w:t xml:space="preserve"> Model Estimation</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_Toc74074417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148</w:t>
        </w:r>
        <w:r w:rsidR="003E5B95" w:rsidRPr="006B1A52">
          <w:rPr>
            <w:b w:val="0"/>
            <w:bCs w:val="0"/>
            <w:noProof/>
            <w:webHidden/>
          </w:rPr>
          <w:fldChar w:fldCharType="end"/>
        </w:r>
      </w:hyperlink>
    </w:p>
    <w:p w14:paraId="04FAA2E5" w14:textId="5380B5A2"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8" w:history="1">
        <w:r w:rsidR="003E5B95" w:rsidRPr="006B1A52">
          <w:rPr>
            <w:rStyle w:val="Hyperlink"/>
            <w:b w:val="0"/>
            <w:bCs w:val="0"/>
            <w:noProof/>
          </w:rPr>
          <w:t xml:space="preserve">Table </w:t>
        </w:r>
        <w:r w:rsidR="003E5B95">
          <w:rPr>
            <w:rStyle w:val="Hyperlink"/>
            <w:b w:val="0"/>
            <w:bCs w:val="0"/>
            <w:noProof/>
          </w:rPr>
          <w:t>4</w:t>
        </w:r>
        <w:r w:rsidR="007D5BEC">
          <w:rPr>
            <w:rStyle w:val="Hyperlink"/>
            <w:b w:val="0"/>
            <w:bCs w:val="0"/>
            <w:noProof/>
          </w:rPr>
          <w:t>:</w:t>
        </w:r>
        <w:r w:rsidR="003E5B95" w:rsidRPr="006B1A52">
          <w:rPr>
            <w:rStyle w:val="Hyperlink"/>
            <w:b w:val="0"/>
            <w:bCs w:val="0"/>
            <w:noProof/>
          </w:rPr>
          <w:t xml:space="preserve"> Model Summary</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_Toc74074418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149</w:t>
        </w:r>
        <w:r w:rsidR="003E5B95" w:rsidRPr="006B1A52">
          <w:rPr>
            <w:b w:val="0"/>
            <w:bCs w:val="0"/>
            <w:noProof/>
            <w:webHidden/>
          </w:rPr>
          <w:fldChar w:fldCharType="end"/>
        </w:r>
      </w:hyperlink>
    </w:p>
    <w:p w14:paraId="1E47EBDB" w14:textId="3258D691"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19" w:history="1">
        <w:r w:rsidR="003E5B95" w:rsidRPr="006B1A52">
          <w:rPr>
            <w:rStyle w:val="Hyperlink"/>
            <w:b w:val="0"/>
            <w:bCs w:val="0"/>
            <w:noProof/>
          </w:rPr>
          <w:t xml:space="preserve">Table </w:t>
        </w:r>
        <w:r w:rsidR="003E5B95">
          <w:rPr>
            <w:rStyle w:val="Hyperlink"/>
            <w:b w:val="0"/>
            <w:bCs w:val="0"/>
            <w:noProof/>
          </w:rPr>
          <w:t>5</w:t>
        </w:r>
        <w:r w:rsidR="007D5BEC">
          <w:rPr>
            <w:rStyle w:val="Hyperlink"/>
            <w:b w:val="0"/>
            <w:bCs w:val="0"/>
            <w:noProof/>
          </w:rPr>
          <w:t>:</w:t>
        </w:r>
        <w:r w:rsidR="003E5B95" w:rsidRPr="006B1A52">
          <w:rPr>
            <w:rStyle w:val="Hyperlink"/>
            <w:b w:val="0"/>
            <w:bCs w:val="0"/>
            <w:noProof/>
          </w:rPr>
          <w:t xml:space="preserve"> Hypothesis Support and Effect Size</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_Toc74074419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149</w:t>
        </w:r>
        <w:r w:rsidR="003E5B95" w:rsidRPr="006B1A52">
          <w:rPr>
            <w:b w:val="0"/>
            <w:bCs w:val="0"/>
            <w:noProof/>
            <w:webHidden/>
          </w:rPr>
          <w:fldChar w:fldCharType="end"/>
        </w:r>
      </w:hyperlink>
    </w:p>
    <w:p w14:paraId="48300108" w14:textId="2BA8B910"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0" w:history="1">
        <w:r w:rsidR="003E5B95" w:rsidRPr="006B1A52">
          <w:rPr>
            <w:rStyle w:val="Hyperlink"/>
            <w:b w:val="0"/>
            <w:bCs w:val="0"/>
            <w:noProof/>
          </w:rPr>
          <w:t xml:space="preserve">Table </w:t>
        </w:r>
        <w:r w:rsidR="003E5B95">
          <w:rPr>
            <w:rStyle w:val="Hyperlink"/>
            <w:b w:val="0"/>
            <w:bCs w:val="0"/>
            <w:noProof/>
          </w:rPr>
          <w:t>6</w:t>
        </w:r>
        <w:r w:rsidR="007D5BEC">
          <w:rPr>
            <w:rStyle w:val="Hyperlink"/>
            <w:b w:val="0"/>
            <w:bCs w:val="0"/>
            <w:noProof/>
          </w:rPr>
          <w:t>:</w:t>
        </w:r>
        <w:r w:rsidR="003E5B95" w:rsidRPr="006B1A52">
          <w:rPr>
            <w:rStyle w:val="Hyperlink"/>
            <w:b w:val="0"/>
            <w:bCs w:val="0"/>
            <w:noProof/>
          </w:rPr>
          <w:t xml:space="preserve"> Results of Validity Analysis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_Toc74074420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151</w:t>
        </w:r>
        <w:r w:rsidR="003E5B95" w:rsidRPr="006B1A52">
          <w:rPr>
            <w:b w:val="0"/>
            <w:bCs w:val="0"/>
            <w:noProof/>
            <w:webHidden/>
          </w:rPr>
          <w:fldChar w:fldCharType="end"/>
        </w:r>
      </w:hyperlink>
    </w:p>
    <w:p w14:paraId="74A46CE4" w14:textId="33B5FAAE"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1" w:history="1">
        <w:r w:rsidR="003E5B95" w:rsidRPr="006B1A52">
          <w:rPr>
            <w:rStyle w:val="Hyperlink"/>
            <w:b w:val="0"/>
            <w:bCs w:val="0"/>
            <w:noProof/>
          </w:rPr>
          <w:t xml:space="preserve">Table </w:t>
        </w:r>
        <w:r w:rsidR="003E5B95">
          <w:rPr>
            <w:rStyle w:val="Hyperlink"/>
            <w:b w:val="0"/>
            <w:bCs w:val="0"/>
            <w:noProof/>
          </w:rPr>
          <w:t>7</w:t>
        </w:r>
        <w:r w:rsidR="007D5BEC">
          <w:rPr>
            <w:rStyle w:val="Hyperlink"/>
            <w:b w:val="0"/>
            <w:bCs w:val="0"/>
            <w:noProof/>
          </w:rPr>
          <w:t>:</w:t>
        </w:r>
        <w:r w:rsidR="003E5B95" w:rsidRPr="006B1A52">
          <w:rPr>
            <w:rStyle w:val="Hyperlink"/>
            <w:b w:val="0"/>
            <w:bCs w:val="0"/>
            <w:noProof/>
          </w:rPr>
          <w:t xml:space="preserve"> Heterotrait-Monotrait (HTMT) Analysis for Discriminant Validity</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_Toc74074421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152</w:t>
        </w:r>
        <w:r w:rsidR="003E5B95" w:rsidRPr="006B1A52">
          <w:rPr>
            <w:b w:val="0"/>
            <w:bCs w:val="0"/>
            <w:noProof/>
            <w:webHidden/>
          </w:rPr>
          <w:fldChar w:fldCharType="end"/>
        </w:r>
      </w:hyperlink>
    </w:p>
    <w:p w14:paraId="62F250A0" w14:textId="150E88E3"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2" w:history="1">
        <w:r w:rsidR="003E5B95" w:rsidRPr="006B1A52">
          <w:rPr>
            <w:rStyle w:val="Hyperlink"/>
            <w:b w:val="0"/>
            <w:bCs w:val="0"/>
            <w:noProof/>
          </w:rPr>
          <w:t xml:space="preserve">Table </w:t>
        </w:r>
        <w:r w:rsidR="003E5B95">
          <w:rPr>
            <w:rStyle w:val="Hyperlink"/>
            <w:b w:val="0"/>
            <w:bCs w:val="0"/>
            <w:noProof/>
          </w:rPr>
          <w:t>8</w:t>
        </w:r>
        <w:r w:rsidR="007D5BEC">
          <w:rPr>
            <w:rStyle w:val="Hyperlink"/>
            <w:b w:val="0"/>
            <w:bCs w:val="0"/>
            <w:noProof/>
          </w:rPr>
          <w:t>:</w:t>
        </w:r>
        <w:r w:rsidR="003E5B95" w:rsidRPr="006B1A52">
          <w:rPr>
            <w:rStyle w:val="Hyperlink"/>
            <w:b w:val="0"/>
            <w:bCs w:val="0"/>
            <w:noProof/>
          </w:rPr>
          <w:t xml:space="preserve"> Stage II Model Estimation Results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_Toc74074422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154</w:t>
        </w:r>
        <w:r w:rsidR="003E5B95" w:rsidRPr="006B1A52">
          <w:rPr>
            <w:b w:val="0"/>
            <w:bCs w:val="0"/>
            <w:noProof/>
            <w:webHidden/>
          </w:rPr>
          <w:fldChar w:fldCharType="end"/>
        </w:r>
      </w:hyperlink>
    </w:p>
    <w:p w14:paraId="050BF640" w14:textId="0DF0B220"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3" w:history="1">
        <w:r w:rsidR="003E5B95" w:rsidRPr="006B1A52">
          <w:rPr>
            <w:rStyle w:val="Hyperlink"/>
            <w:b w:val="0"/>
            <w:bCs w:val="0"/>
            <w:noProof/>
          </w:rPr>
          <w:t xml:space="preserve">Table </w:t>
        </w:r>
        <w:r w:rsidR="003E5B95">
          <w:rPr>
            <w:rStyle w:val="Hyperlink"/>
            <w:b w:val="0"/>
            <w:bCs w:val="0"/>
            <w:noProof/>
          </w:rPr>
          <w:t>9</w:t>
        </w:r>
        <w:r w:rsidR="007D5BEC">
          <w:rPr>
            <w:rStyle w:val="Hyperlink"/>
            <w:b w:val="0"/>
            <w:bCs w:val="0"/>
            <w:noProof/>
          </w:rPr>
          <w:t>:</w:t>
        </w:r>
        <w:r w:rsidR="003E5B95" w:rsidRPr="006B1A52">
          <w:rPr>
            <w:rStyle w:val="Hyperlink"/>
            <w:b w:val="0"/>
            <w:bCs w:val="0"/>
            <w:noProof/>
          </w:rPr>
          <w:t xml:space="preserve"> Stage II Hypotheses Support and Effect Size</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_Toc74074423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154</w:t>
        </w:r>
        <w:r w:rsidR="003E5B95" w:rsidRPr="006B1A52">
          <w:rPr>
            <w:b w:val="0"/>
            <w:bCs w:val="0"/>
            <w:noProof/>
            <w:webHidden/>
          </w:rPr>
          <w:fldChar w:fldCharType="end"/>
        </w:r>
      </w:hyperlink>
    </w:p>
    <w:p w14:paraId="36F2ACD9" w14:textId="6AB50B4F"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4" w:history="1">
        <w:r w:rsidR="003E5B95" w:rsidRPr="006B1A52">
          <w:rPr>
            <w:rStyle w:val="Hyperlink"/>
            <w:b w:val="0"/>
            <w:bCs w:val="0"/>
            <w:noProof/>
          </w:rPr>
          <w:t>Table 1</w:t>
        </w:r>
        <w:r w:rsidR="003E5B95">
          <w:rPr>
            <w:rStyle w:val="Hyperlink"/>
            <w:b w:val="0"/>
            <w:bCs w:val="0"/>
            <w:noProof/>
          </w:rPr>
          <w:t>0</w:t>
        </w:r>
        <w:r w:rsidR="007D5BEC">
          <w:rPr>
            <w:rStyle w:val="Hyperlink"/>
            <w:b w:val="0"/>
            <w:bCs w:val="0"/>
            <w:noProof/>
          </w:rPr>
          <w:t>:</w:t>
        </w:r>
        <w:r w:rsidR="003E5B95" w:rsidRPr="006B1A52">
          <w:rPr>
            <w:rStyle w:val="Hyperlink"/>
            <w:b w:val="0"/>
            <w:bCs w:val="0"/>
            <w:noProof/>
          </w:rPr>
          <w:t xml:space="preserve"> Stage III Model Estimation Results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_Toc74074424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157</w:t>
        </w:r>
        <w:r w:rsidR="003E5B95" w:rsidRPr="006B1A52">
          <w:rPr>
            <w:b w:val="0"/>
            <w:bCs w:val="0"/>
            <w:noProof/>
            <w:webHidden/>
          </w:rPr>
          <w:fldChar w:fldCharType="end"/>
        </w:r>
      </w:hyperlink>
    </w:p>
    <w:p w14:paraId="16DDD222" w14:textId="63780A3E"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5" w:history="1">
        <w:r w:rsidR="003E5B95" w:rsidRPr="006B1A52">
          <w:rPr>
            <w:rStyle w:val="Hyperlink"/>
            <w:b w:val="0"/>
            <w:bCs w:val="0"/>
            <w:noProof/>
          </w:rPr>
          <w:t xml:space="preserve">Table </w:t>
        </w:r>
        <w:r w:rsidR="003E5B95">
          <w:rPr>
            <w:rStyle w:val="Hyperlink"/>
            <w:b w:val="0"/>
            <w:bCs w:val="0"/>
            <w:noProof/>
          </w:rPr>
          <w:t>D1</w:t>
        </w:r>
        <w:r w:rsidR="007D5BEC">
          <w:rPr>
            <w:rStyle w:val="Hyperlink"/>
            <w:b w:val="0"/>
            <w:bCs w:val="0"/>
            <w:noProof/>
          </w:rPr>
          <w:t>:</w:t>
        </w:r>
        <w:r w:rsidR="003E5B95" w:rsidRPr="006B1A52">
          <w:rPr>
            <w:rStyle w:val="Hyperlink"/>
            <w:b w:val="0"/>
            <w:bCs w:val="0"/>
            <w:noProof/>
          </w:rPr>
          <w:t xml:space="preserve"> Relevant Definitions of Constructs for Conceptual and Research Model</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_Toc74074425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175</w:t>
        </w:r>
        <w:r w:rsidR="003E5B95" w:rsidRPr="006B1A52">
          <w:rPr>
            <w:b w:val="0"/>
            <w:bCs w:val="0"/>
            <w:noProof/>
            <w:webHidden/>
          </w:rPr>
          <w:fldChar w:fldCharType="end"/>
        </w:r>
      </w:hyperlink>
    </w:p>
    <w:p w14:paraId="56D318E6" w14:textId="24CC9FDD"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6" w:history="1">
        <w:r w:rsidR="003E5B95" w:rsidRPr="006B1A52">
          <w:rPr>
            <w:rStyle w:val="Hyperlink"/>
            <w:b w:val="0"/>
            <w:bCs w:val="0"/>
            <w:noProof/>
          </w:rPr>
          <w:t xml:space="preserve">Table </w:t>
        </w:r>
        <w:r w:rsidR="003E5B95">
          <w:rPr>
            <w:rStyle w:val="Hyperlink"/>
            <w:b w:val="0"/>
            <w:bCs w:val="0"/>
            <w:noProof/>
          </w:rPr>
          <w:t>E1</w:t>
        </w:r>
        <w:r w:rsidR="007D5BEC">
          <w:rPr>
            <w:rStyle w:val="Hyperlink"/>
            <w:b w:val="0"/>
            <w:bCs w:val="0"/>
            <w:noProof/>
          </w:rPr>
          <w:t>:</w:t>
        </w:r>
        <w:r w:rsidR="003E5B95" w:rsidRPr="006B1A52">
          <w:rPr>
            <w:rStyle w:val="Hyperlink"/>
            <w:b w:val="0"/>
            <w:bCs w:val="0"/>
            <w:noProof/>
          </w:rPr>
          <w:t xml:space="preserve"> Appropriateness for Mixed Methods Design (Venkatesh 2016)</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_Toc74074426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177</w:t>
        </w:r>
        <w:r w:rsidR="003E5B95" w:rsidRPr="006B1A52">
          <w:rPr>
            <w:b w:val="0"/>
            <w:bCs w:val="0"/>
            <w:noProof/>
            <w:webHidden/>
          </w:rPr>
          <w:fldChar w:fldCharType="end"/>
        </w:r>
      </w:hyperlink>
    </w:p>
    <w:p w14:paraId="7B6F1262" w14:textId="4BC7067C"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7" w:history="1">
        <w:r w:rsidR="003E5B95" w:rsidRPr="006B1A52">
          <w:rPr>
            <w:rStyle w:val="Hyperlink"/>
            <w:b w:val="0"/>
            <w:bCs w:val="0"/>
            <w:noProof/>
          </w:rPr>
          <w:t xml:space="preserve">Table </w:t>
        </w:r>
        <w:r w:rsidR="003E5B95">
          <w:rPr>
            <w:rStyle w:val="Hyperlink"/>
            <w:b w:val="0"/>
            <w:bCs w:val="0"/>
            <w:noProof/>
          </w:rPr>
          <w:t>F1</w:t>
        </w:r>
        <w:r w:rsidR="007D5BEC">
          <w:rPr>
            <w:rStyle w:val="Hyperlink"/>
            <w:b w:val="0"/>
            <w:bCs w:val="0"/>
            <w:noProof/>
          </w:rPr>
          <w:t>:</w:t>
        </w:r>
        <w:r w:rsidR="003E5B95" w:rsidRPr="006B1A52">
          <w:rPr>
            <w:rStyle w:val="Hyperlink"/>
            <w:b w:val="0"/>
            <w:bCs w:val="0"/>
            <w:noProof/>
          </w:rPr>
          <w:t xml:space="preserve"> Workforce Categories Description (NIST-NICE)</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_Toc74074427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181</w:t>
        </w:r>
        <w:r w:rsidR="003E5B95" w:rsidRPr="006B1A52">
          <w:rPr>
            <w:b w:val="0"/>
            <w:bCs w:val="0"/>
            <w:noProof/>
            <w:webHidden/>
          </w:rPr>
          <w:fldChar w:fldCharType="end"/>
        </w:r>
      </w:hyperlink>
    </w:p>
    <w:p w14:paraId="6F2129D7" w14:textId="5CE0F88D"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8" w:history="1">
        <w:r w:rsidR="003E5B95" w:rsidRPr="006B1A52">
          <w:rPr>
            <w:rStyle w:val="Hyperlink"/>
            <w:b w:val="0"/>
            <w:bCs w:val="0"/>
            <w:noProof/>
          </w:rPr>
          <w:t xml:space="preserve">Table </w:t>
        </w:r>
        <w:r w:rsidR="003E5B95">
          <w:rPr>
            <w:rStyle w:val="Hyperlink"/>
            <w:b w:val="0"/>
            <w:bCs w:val="0"/>
            <w:noProof/>
          </w:rPr>
          <w:t>G1</w:t>
        </w:r>
        <w:r w:rsidR="007D5BEC">
          <w:rPr>
            <w:rStyle w:val="Hyperlink"/>
            <w:b w:val="0"/>
            <w:bCs w:val="0"/>
            <w:noProof/>
          </w:rPr>
          <w:t>:</w:t>
        </w:r>
        <w:r w:rsidR="003E5B95" w:rsidRPr="006B1A52">
          <w:rPr>
            <w:rStyle w:val="Hyperlink"/>
            <w:b w:val="0"/>
            <w:bCs w:val="0"/>
            <w:noProof/>
          </w:rPr>
          <w:t xml:space="preserve"> Participants</w:t>
        </w:r>
        <w:r w:rsidR="003E5B95">
          <w:rPr>
            <w:rStyle w:val="Hyperlink"/>
            <w:b w:val="0"/>
            <w:bCs w:val="0"/>
            <w:noProof/>
          </w:rPr>
          <w:t>’</w:t>
        </w:r>
        <w:r w:rsidR="003E5B95" w:rsidRPr="006B1A52">
          <w:rPr>
            <w:rStyle w:val="Hyperlink"/>
            <w:b w:val="0"/>
            <w:bCs w:val="0"/>
            <w:noProof/>
          </w:rPr>
          <w:t xml:space="preserve"> Characteristics in the Qualitative Study</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_Toc74074428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185</w:t>
        </w:r>
        <w:r w:rsidR="003E5B95" w:rsidRPr="006B1A52">
          <w:rPr>
            <w:b w:val="0"/>
            <w:bCs w:val="0"/>
            <w:noProof/>
            <w:webHidden/>
          </w:rPr>
          <w:fldChar w:fldCharType="end"/>
        </w:r>
      </w:hyperlink>
    </w:p>
    <w:p w14:paraId="664F2134" w14:textId="66CB07A7"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29" w:history="1">
        <w:r w:rsidR="003E5B95" w:rsidRPr="006B1A52">
          <w:rPr>
            <w:rStyle w:val="Hyperlink"/>
            <w:b w:val="0"/>
            <w:bCs w:val="0"/>
            <w:noProof/>
          </w:rPr>
          <w:t xml:space="preserve">Table </w:t>
        </w:r>
        <w:r w:rsidR="003E5B95">
          <w:rPr>
            <w:rStyle w:val="Hyperlink"/>
            <w:b w:val="0"/>
            <w:bCs w:val="0"/>
            <w:noProof/>
          </w:rPr>
          <w:t>H1</w:t>
        </w:r>
        <w:r w:rsidR="007D5BEC">
          <w:rPr>
            <w:rStyle w:val="Hyperlink"/>
            <w:b w:val="0"/>
            <w:bCs w:val="0"/>
            <w:noProof/>
          </w:rPr>
          <w:t>:</w:t>
        </w:r>
        <w:r w:rsidR="003E5B95" w:rsidRPr="006B1A52">
          <w:rPr>
            <w:rStyle w:val="Hyperlink"/>
            <w:b w:val="0"/>
            <w:bCs w:val="0"/>
            <w:noProof/>
          </w:rPr>
          <w:t xml:space="preserve"> Qualitative Evidence in Support of Conceptual Framework</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_Toc74074429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188</w:t>
        </w:r>
        <w:r w:rsidR="003E5B95" w:rsidRPr="006B1A52">
          <w:rPr>
            <w:b w:val="0"/>
            <w:bCs w:val="0"/>
            <w:noProof/>
            <w:webHidden/>
          </w:rPr>
          <w:fldChar w:fldCharType="end"/>
        </w:r>
      </w:hyperlink>
    </w:p>
    <w:p w14:paraId="04B9AABA" w14:textId="2E2C1AFE"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0" w:history="1">
        <w:r w:rsidR="003E5B95" w:rsidRPr="006B1A52">
          <w:rPr>
            <w:rStyle w:val="Hyperlink"/>
            <w:b w:val="0"/>
            <w:bCs w:val="0"/>
            <w:noProof/>
          </w:rPr>
          <w:t xml:space="preserve">Table </w:t>
        </w:r>
        <w:r w:rsidR="003E5B95">
          <w:rPr>
            <w:rStyle w:val="Hyperlink"/>
            <w:b w:val="0"/>
            <w:bCs w:val="0"/>
            <w:noProof/>
          </w:rPr>
          <w:t>I1</w:t>
        </w:r>
        <w:r w:rsidR="007D5BEC">
          <w:rPr>
            <w:rStyle w:val="Hyperlink"/>
            <w:b w:val="0"/>
            <w:bCs w:val="0"/>
            <w:noProof/>
          </w:rPr>
          <w:t>:</w:t>
        </w:r>
        <w:r w:rsidR="003E5B95" w:rsidRPr="006B1A52">
          <w:rPr>
            <w:rStyle w:val="Hyperlink"/>
            <w:b w:val="0"/>
            <w:bCs w:val="0"/>
            <w:noProof/>
          </w:rPr>
          <w:t xml:space="preserve"> Instrument Details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_Toc74074430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194</w:t>
        </w:r>
        <w:r w:rsidR="003E5B95" w:rsidRPr="006B1A52">
          <w:rPr>
            <w:b w:val="0"/>
            <w:bCs w:val="0"/>
            <w:noProof/>
            <w:webHidden/>
          </w:rPr>
          <w:fldChar w:fldCharType="end"/>
        </w:r>
      </w:hyperlink>
    </w:p>
    <w:p w14:paraId="0580916C" w14:textId="77777777" w:rsidR="00D22235" w:rsidRDefault="00D22235">
      <w:pPr>
        <w:pStyle w:val="TableofFigures"/>
        <w:tabs>
          <w:tab w:val="right" w:leader="dot" w:pos="9350"/>
        </w:tabs>
        <w:rPr>
          <w:noProof/>
        </w:rPr>
        <w:sectPr w:rsidR="00D22235" w:rsidSect="003E5B95">
          <w:pgSz w:w="12240" w:h="15840"/>
          <w:pgMar w:top="2880" w:right="1440" w:bottom="1440" w:left="1440" w:header="720" w:footer="720" w:gutter="0"/>
          <w:pgNumType w:fmt="lowerRoman"/>
          <w:cols w:space="720"/>
          <w:titlePg/>
          <w:docGrid w:linePitch="360"/>
        </w:sectPr>
      </w:pPr>
    </w:p>
    <w:p w14:paraId="61D74516" w14:textId="2FF502FB"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1" w:history="1">
        <w:r w:rsidR="003E5B95" w:rsidRPr="006B1A52">
          <w:rPr>
            <w:rStyle w:val="Hyperlink"/>
            <w:b w:val="0"/>
            <w:bCs w:val="0"/>
            <w:noProof/>
          </w:rPr>
          <w:t xml:space="preserve">Table </w:t>
        </w:r>
        <w:r w:rsidR="003E5B95">
          <w:rPr>
            <w:rStyle w:val="Hyperlink"/>
            <w:b w:val="0"/>
            <w:bCs w:val="0"/>
            <w:noProof/>
          </w:rPr>
          <w:t>J1</w:t>
        </w:r>
        <w:r w:rsidR="007D5BEC">
          <w:rPr>
            <w:rStyle w:val="Hyperlink"/>
            <w:b w:val="0"/>
            <w:bCs w:val="0"/>
            <w:noProof/>
          </w:rPr>
          <w:t>:</w:t>
        </w:r>
        <w:r w:rsidR="003E5B95" w:rsidRPr="006B1A52">
          <w:rPr>
            <w:rStyle w:val="Hyperlink"/>
            <w:b w:val="0"/>
            <w:bCs w:val="0"/>
            <w:noProof/>
          </w:rPr>
          <w:t xml:space="preserve"> Participants' Characteristics in the Quantitative Study</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_Toc74074431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202</w:t>
        </w:r>
        <w:r w:rsidR="003E5B95" w:rsidRPr="006B1A52">
          <w:rPr>
            <w:b w:val="0"/>
            <w:bCs w:val="0"/>
            <w:noProof/>
            <w:webHidden/>
          </w:rPr>
          <w:fldChar w:fldCharType="end"/>
        </w:r>
      </w:hyperlink>
    </w:p>
    <w:p w14:paraId="1A823A95" w14:textId="242BEE22"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2" w:history="1">
        <w:r w:rsidR="003E5B95" w:rsidRPr="006B1A52">
          <w:rPr>
            <w:rStyle w:val="Hyperlink"/>
            <w:b w:val="0"/>
            <w:bCs w:val="0"/>
            <w:noProof/>
          </w:rPr>
          <w:t xml:space="preserve">Table </w:t>
        </w:r>
        <w:r w:rsidR="003E5B95">
          <w:rPr>
            <w:rStyle w:val="Hyperlink"/>
            <w:b w:val="0"/>
            <w:bCs w:val="0"/>
            <w:noProof/>
          </w:rPr>
          <w:t>J2</w:t>
        </w:r>
        <w:r w:rsidR="007D5BEC">
          <w:rPr>
            <w:rStyle w:val="Hyperlink"/>
            <w:b w:val="0"/>
            <w:bCs w:val="0"/>
            <w:noProof/>
          </w:rPr>
          <w:t>:</w:t>
        </w:r>
        <w:r w:rsidR="003E5B95" w:rsidRPr="006B1A52">
          <w:rPr>
            <w:rStyle w:val="Hyperlink"/>
            <w:b w:val="0"/>
            <w:bCs w:val="0"/>
            <w:noProof/>
          </w:rPr>
          <w:t xml:space="preserve"> Participants' Job Description as per NIST-NICE Framework</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_Toc74074432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203</w:t>
        </w:r>
        <w:r w:rsidR="003E5B95" w:rsidRPr="006B1A52">
          <w:rPr>
            <w:b w:val="0"/>
            <w:bCs w:val="0"/>
            <w:noProof/>
            <w:webHidden/>
          </w:rPr>
          <w:fldChar w:fldCharType="end"/>
        </w:r>
      </w:hyperlink>
    </w:p>
    <w:p w14:paraId="110E1496" w14:textId="4F46F320"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3" w:history="1">
        <w:r w:rsidR="003E5B95" w:rsidRPr="006B1A52">
          <w:rPr>
            <w:rStyle w:val="Hyperlink"/>
            <w:b w:val="0"/>
            <w:bCs w:val="0"/>
            <w:noProof/>
          </w:rPr>
          <w:t xml:space="preserve">Table </w:t>
        </w:r>
        <w:r w:rsidR="003E5B95">
          <w:rPr>
            <w:rStyle w:val="Hyperlink"/>
            <w:b w:val="0"/>
            <w:bCs w:val="0"/>
            <w:noProof/>
          </w:rPr>
          <w:t>K1</w:t>
        </w:r>
        <w:r w:rsidR="007D5BEC">
          <w:rPr>
            <w:rStyle w:val="Hyperlink"/>
            <w:b w:val="0"/>
            <w:bCs w:val="0"/>
            <w:noProof/>
          </w:rPr>
          <w:t>:</w:t>
        </w:r>
        <w:r w:rsidR="003E5B95" w:rsidRPr="006B1A52">
          <w:rPr>
            <w:rStyle w:val="Hyperlink"/>
            <w:b w:val="0"/>
            <w:bCs w:val="0"/>
            <w:noProof/>
          </w:rPr>
          <w:t xml:space="preserve"> Mean and Standard Deviation of Stage I Model Variables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_Toc74074433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204</w:t>
        </w:r>
        <w:r w:rsidR="003E5B95" w:rsidRPr="006B1A52">
          <w:rPr>
            <w:b w:val="0"/>
            <w:bCs w:val="0"/>
            <w:noProof/>
            <w:webHidden/>
          </w:rPr>
          <w:fldChar w:fldCharType="end"/>
        </w:r>
      </w:hyperlink>
    </w:p>
    <w:p w14:paraId="643889A5" w14:textId="58DDB456"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4" w:history="1">
        <w:r w:rsidR="003E5B95" w:rsidRPr="006B1A52">
          <w:rPr>
            <w:rStyle w:val="Hyperlink"/>
            <w:b w:val="0"/>
            <w:bCs w:val="0"/>
            <w:noProof/>
          </w:rPr>
          <w:t xml:space="preserve">Table </w:t>
        </w:r>
        <w:r w:rsidR="003E5B95">
          <w:rPr>
            <w:rStyle w:val="Hyperlink"/>
            <w:b w:val="0"/>
            <w:bCs w:val="0"/>
            <w:noProof/>
          </w:rPr>
          <w:t>K2</w:t>
        </w:r>
        <w:r w:rsidR="007D5BEC">
          <w:rPr>
            <w:rStyle w:val="Hyperlink"/>
            <w:b w:val="0"/>
            <w:bCs w:val="0"/>
            <w:noProof/>
          </w:rPr>
          <w:t>:</w:t>
        </w:r>
        <w:r w:rsidR="003E5B95" w:rsidRPr="006B1A52">
          <w:rPr>
            <w:rStyle w:val="Hyperlink"/>
            <w:b w:val="0"/>
            <w:bCs w:val="0"/>
            <w:noProof/>
          </w:rPr>
          <w:t xml:space="preserve"> Survey Participants' Personality Makeup</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_Toc74074434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204</w:t>
        </w:r>
        <w:r w:rsidR="003E5B95" w:rsidRPr="006B1A52">
          <w:rPr>
            <w:b w:val="0"/>
            <w:bCs w:val="0"/>
            <w:noProof/>
            <w:webHidden/>
          </w:rPr>
          <w:fldChar w:fldCharType="end"/>
        </w:r>
      </w:hyperlink>
    </w:p>
    <w:p w14:paraId="68055FE6" w14:textId="1743AA3F"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5" w:history="1">
        <w:r w:rsidR="003E5B95" w:rsidRPr="006B1A52">
          <w:rPr>
            <w:rStyle w:val="Hyperlink"/>
            <w:b w:val="0"/>
            <w:bCs w:val="0"/>
            <w:noProof/>
          </w:rPr>
          <w:t xml:space="preserve">Table </w:t>
        </w:r>
        <w:r w:rsidR="003E5B95">
          <w:rPr>
            <w:rStyle w:val="Hyperlink"/>
            <w:b w:val="0"/>
            <w:bCs w:val="0"/>
            <w:noProof/>
          </w:rPr>
          <w:t>L1</w:t>
        </w:r>
        <w:r w:rsidR="007D5BEC">
          <w:rPr>
            <w:rStyle w:val="Hyperlink"/>
            <w:b w:val="0"/>
            <w:bCs w:val="0"/>
            <w:noProof/>
          </w:rPr>
          <w:t>:</w:t>
        </w:r>
        <w:r w:rsidR="003E5B95" w:rsidRPr="006B1A52">
          <w:rPr>
            <w:rStyle w:val="Hyperlink"/>
            <w:b w:val="0"/>
            <w:bCs w:val="0"/>
            <w:noProof/>
          </w:rPr>
          <w:t xml:space="preserve"> Definitions of Constructs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_Toc74074435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236</w:t>
        </w:r>
        <w:r w:rsidR="003E5B95" w:rsidRPr="006B1A52">
          <w:rPr>
            <w:b w:val="0"/>
            <w:bCs w:val="0"/>
            <w:noProof/>
            <w:webHidden/>
          </w:rPr>
          <w:fldChar w:fldCharType="end"/>
        </w:r>
      </w:hyperlink>
    </w:p>
    <w:p w14:paraId="313CD60B" w14:textId="78275E37"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6" w:history="1">
        <w:r w:rsidR="003E5B95" w:rsidRPr="006B1A52">
          <w:rPr>
            <w:rStyle w:val="Hyperlink"/>
            <w:b w:val="0"/>
            <w:bCs w:val="0"/>
            <w:noProof/>
          </w:rPr>
          <w:t xml:space="preserve">Table </w:t>
        </w:r>
        <w:r w:rsidR="003E5B95">
          <w:rPr>
            <w:rStyle w:val="Hyperlink"/>
            <w:b w:val="0"/>
            <w:bCs w:val="0"/>
            <w:noProof/>
          </w:rPr>
          <w:t>L2</w:t>
        </w:r>
        <w:r w:rsidR="007D5BEC">
          <w:rPr>
            <w:rStyle w:val="Hyperlink"/>
            <w:b w:val="0"/>
            <w:bCs w:val="0"/>
            <w:noProof/>
          </w:rPr>
          <w:t>:</w:t>
        </w:r>
        <w:r w:rsidR="003E5B95" w:rsidRPr="006B1A52">
          <w:rPr>
            <w:rStyle w:val="Hyperlink"/>
            <w:b w:val="0"/>
            <w:bCs w:val="0"/>
            <w:noProof/>
          </w:rPr>
          <w:t xml:space="preserve"> List of Job Demands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_Toc74074436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238</w:t>
        </w:r>
        <w:r w:rsidR="003E5B95" w:rsidRPr="006B1A52">
          <w:rPr>
            <w:b w:val="0"/>
            <w:bCs w:val="0"/>
            <w:noProof/>
            <w:webHidden/>
          </w:rPr>
          <w:fldChar w:fldCharType="end"/>
        </w:r>
      </w:hyperlink>
    </w:p>
    <w:p w14:paraId="05EC3586" w14:textId="26C0E23E" w:rsidR="003E5B95" w:rsidRPr="006B1A52"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4074437" w:history="1">
        <w:r w:rsidR="003E5B95" w:rsidRPr="006B1A52">
          <w:rPr>
            <w:rStyle w:val="Hyperlink"/>
            <w:b w:val="0"/>
            <w:bCs w:val="0"/>
            <w:noProof/>
          </w:rPr>
          <w:t xml:space="preserve">Table </w:t>
        </w:r>
        <w:r w:rsidR="003E5B95">
          <w:rPr>
            <w:rStyle w:val="Hyperlink"/>
            <w:b w:val="0"/>
            <w:bCs w:val="0"/>
            <w:noProof/>
          </w:rPr>
          <w:t>L3</w:t>
        </w:r>
        <w:r w:rsidR="007D5BEC">
          <w:rPr>
            <w:rStyle w:val="Hyperlink"/>
            <w:b w:val="0"/>
            <w:bCs w:val="0"/>
            <w:noProof/>
          </w:rPr>
          <w:t>:</w:t>
        </w:r>
        <w:r w:rsidR="003E5B95" w:rsidRPr="006B1A52">
          <w:rPr>
            <w:rStyle w:val="Hyperlink"/>
            <w:b w:val="0"/>
            <w:bCs w:val="0"/>
            <w:noProof/>
          </w:rPr>
          <w:t xml:space="preserve"> List of Resources</w:t>
        </w:r>
        <w:r w:rsidR="003E5B95" w:rsidRPr="006B1A52">
          <w:rPr>
            <w:b w:val="0"/>
            <w:bCs w:val="0"/>
            <w:noProof/>
            <w:webHidden/>
          </w:rPr>
          <w:tab/>
        </w:r>
        <w:r w:rsidR="003E5B95" w:rsidRPr="006B1A52">
          <w:rPr>
            <w:b w:val="0"/>
            <w:bCs w:val="0"/>
            <w:noProof/>
            <w:webHidden/>
          </w:rPr>
          <w:fldChar w:fldCharType="begin"/>
        </w:r>
        <w:r w:rsidR="003E5B95" w:rsidRPr="006B1A52">
          <w:rPr>
            <w:b w:val="0"/>
            <w:bCs w:val="0"/>
            <w:noProof/>
            <w:webHidden/>
          </w:rPr>
          <w:instrText xml:space="preserve"> PAGEREF _Toc74074437 \h </w:instrText>
        </w:r>
        <w:r w:rsidR="003E5B95" w:rsidRPr="006B1A52">
          <w:rPr>
            <w:b w:val="0"/>
            <w:bCs w:val="0"/>
            <w:noProof/>
            <w:webHidden/>
          </w:rPr>
        </w:r>
        <w:r w:rsidR="003E5B95" w:rsidRPr="006B1A52">
          <w:rPr>
            <w:b w:val="0"/>
            <w:bCs w:val="0"/>
            <w:noProof/>
            <w:webHidden/>
          </w:rPr>
          <w:fldChar w:fldCharType="separate"/>
        </w:r>
        <w:r w:rsidR="00FF336A">
          <w:rPr>
            <w:b w:val="0"/>
            <w:bCs w:val="0"/>
            <w:noProof/>
            <w:webHidden/>
          </w:rPr>
          <w:t>241</w:t>
        </w:r>
        <w:r w:rsidR="003E5B95" w:rsidRPr="006B1A52">
          <w:rPr>
            <w:b w:val="0"/>
            <w:bCs w:val="0"/>
            <w:noProof/>
            <w:webHidden/>
          </w:rPr>
          <w:fldChar w:fldCharType="end"/>
        </w:r>
      </w:hyperlink>
    </w:p>
    <w:p w14:paraId="29F1CDA3" w14:textId="77777777" w:rsidR="00D22235" w:rsidRDefault="00D22235" w:rsidP="003E5B95">
      <w:pPr>
        <w:spacing w:after="160" w:line="259" w:lineRule="auto"/>
        <w:ind w:firstLine="0"/>
        <w:contextualSpacing w:val="0"/>
        <w:rPr>
          <w:rFonts w:cstheme="minorHAnsi"/>
          <w:noProof/>
          <w:color w:val="000000" w:themeColor="text1"/>
        </w:rPr>
        <w:sectPr w:rsidR="00D22235" w:rsidSect="00D22235">
          <w:pgSz w:w="12240" w:h="15840"/>
          <w:pgMar w:top="1440" w:right="1440" w:bottom="1440" w:left="1440" w:header="720" w:footer="720" w:gutter="0"/>
          <w:pgNumType w:fmt="lowerRoman"/>
          <w:cols w:space="720"/>
          <w:titlePg/>
          <w:docGrid w:linePitch="360"/>
        </w:sectPr>
      </w:pPr>
    </w:p>
    <w:p w14:paraId="661A2E08" w14:textId="474E7406" w:rsidR="003E5B95" w:rsidRPr="00996187" w:rsidRDefault="003E5B95" w:rsidP="003E5B95">
      <w:pPr>
        <w:spacing w:after="160" w:line="259" w:lineRule="auto"/>
        <w:ind w:firstLine="0"/>
        <w:contextualSpacing w:val="0"/>
        <w:rPr>
          <w:color w:val="000000" w:themeColor="text1"/>
        </w:rPr>
      </w:pPr>
      <w:r w:rsidRPr="006B1A52">
        <w:rPr>
          <w:rFonts w:cstheme="minorHAnsi"/>
          <w:color w:val="000000" w:themeColor="text1"/>
        </w:rPr>
        <w:lastRenderedPageBreak/>
        <w:fldChar w:fldCharType="end"/>
      </w:r>
    </w:p>
    <w:p w14:paraId="1564DA47" w14:textId="77777777" w:rsidR="003E5B95" w:rsidRDefault="003E5B95" w:rsidP="003E5B95">
      <w:pPr>
        <w:spacing w:after="160" w:line="259" w:lineRule="auto"/>
        <w:ind w:firstLine="0"/>
        <w:contextualSpacing w:val="0"/>
        <w:jc w:val="center"/>
        <w:rPr>
          <w:rStyle w:val="Heading1Char"/>
        </w:rPr>
      </w:pPr>
    </w:p>
    <w:p w14:paraId="59168273" w14:textId="77777777" w:rsidR="003E5B95" w:rsidRPr="00AB53CC" w:rsidRDefault="003E5B95" w:rsidP="003E5B95">
      <w:pPr>
        <w:pStyle w:val="Heading1"/>
        <w:rPr>
          <w:color w:val="000000" w:themeColor="text1"/>
        </w:rPr>
      </w:pPr>
      <w:bookmarkStart w:id="27" w:name="_Toc74045206"/>
      <w:bookmarkStart w:id="28" w:name="_Toc74087491"/>
      <w:bookmarkStart w:id="29" w:name="_Toc74258607"/>
      <w:r w:rsidRPr="00AB53CC">
        <w:rPr>
          <w:rStyle w:val="Heading1Char"/>
        </w:rPr>
        <w:t>LIST OF FIGURES</w:t>
      </w:r>
      <w:bookmarkEnd w:id="27"/>
      <w:bookmarkEnd w:id="28"/>
      <w:bookmarkEnd w:id="29"/>
    </w:p>
    <w:p w14:paraId="4F975982" w14:textId="0A45CFD5" w:rsidR="003E5B95" w:rsidRPr="00C56ECF" w:rsidRDefault="003E5B95">
      <w:pPr>
        <w:pStyle w:val="TableofFigures"/>
        <w:tabs>
          <w:tab w:val="right" w:leader="dot" w:pos="9350"/>
        </w:tabs>
        <w:rPr>
          <w:rFonts w:asciiTheme="minorHAnsi" w:eastAsiaTheme="minorEastAsia" w:hAnsiTheme="minorHAnsi" w:cstheme="minorBidi"/>
          <w:b w:val="0"/>
          <w:bCs w:val="0"/>
          <w:noProof/>
          <w:kern w:val="0"/>
          <w:sz w:val="22"/>
          <w:szCs w:val="22"/>
          <w:lang w:eastAsia="en-US"/>
        </w:rPr>
      </w:pPr>
      <w:r w:rsidRPr="00C56ECF">
        <w:rPr>
          <w:b w:val="0"/>
          <w:bCs w:val="0"/>
          <w:color w:val="000000" w:themeColor="text1"/>
        </w:rPr>
        <w:fldChar w:fldCharType="begin"/>
      </w:r>
      <w:r w:rsidRPr="00C56ECF">
        <w:rPr>
          <w:b w:val="0"/>
          <w:bCs w:val="0"/>
          <w:color w:val="000000" w:themeColor="text1"/>
        </w:rPr>
        <w:instrText xml:space="preserve"> TOC \h \z \c "Figure" </w:instrText>
      </w:r>
      <w:r w:rsidRPr="00C56ECF">
        <w:rPr>
          <w:b w:val="0"/>
          <w:bCs w:val="0"/>
          <w:color w:val="000000" w:themeColor="text1"/>
        </w:rPr>
        <w:fldChar w:fldCharType="separate"/>
      </w:r>
      <w:hyperlink w:anchor="_Toc73955277" w:history="1">
        <w:r w:rsidRPr="00C56ECF">
          <w:rPr>
            <w:rStyle w:val="Hyperlink"/>
            <w:b w:val="0"/>
            <w:bCs w:val="0"/>
            <w:noProof/>
          </w:rPr>
          <w:t xml:space="preserve">Figure 1: Literature Review Process Adapted from </w:t>
        </w:r>
        <w:r w:rsidRPr="00C56ECF">
          <w:rPr>
            <w:rStyle w:val="Hyperlink"/>
            <w:rFonts w:cs="Times New Roman"/>
            <w:b w:val="0"/>
            <w:bCs w:val="0"/>
            <w:noProof/>
          </w:rPr>
          <w:t>Okoli and Schabram (2010)</w:t>
        </w:r>
        <w:r w:rsidRPr="00C56ECF">
          <w:rPr>
            <w:b w:val="0"/>
            <w:bCs w:val="0"/>
            <w:noProof/>
            <w:webHidden/>
          </w:rPr>
          <w:tab/>
        </w:r>
        <w:r w:rsidRPr="00C56ECF">
          <w:rPr>
            <w:b w:val="0"/>
            <w:bCs w:val="0"/>
            <w:noProof/>
            <w:webHidden/>
          </w:rPr>
          <w:fldChar w:fldCharType="begin"/>
        </w:r>
        <w:r w:rsidRPr="00C56ECF">
          <w:rPr>
            <w:b w:val="0"/>
            <w:bCs w:val="0"/>
            <w:noProof/>
            <w:webHidden/>
          </w:rPr>
          <w:instrText xml:space="preserve"> PAGEREF _Toc73955277 \h </w:instrText>
        </w:r>
        <w:r w:rsidRPr="00C56ECF">
          <w:rPr>
            <w:b w:val="0"/>
            <w:bCs w:val="0"/>
            <w:noProof/>
            <w:webHidden/>
          </w:rPr>
        </w:r>
        <w:r w:rsidRPr="00C56ECF">
          <w:rPr>
            <w:b w:val="0"/>
            <w:bCs w:val="0"/>
            <w:noProof/>
            <w:webHidden/>
          </w:rPr>
          <w:fldChar w:fldCharType="separate"/>
        </w:r>
        <w:r w:rsidR="00FF336A">
          <w:rPr>
            <w:b w:val="0"/>
            <w:bCs w:val="0"/>
            <w:noProof/>
            <w:webHidden/>
          </w:rPr>
          <w:t>9</w:t>
        </w:r>
        <w:r w:rsidRPr="00C56ECF">
          <w:rPr>
            <w:b w:val="0"/>
            <w:bCs w:val="0"/>
            <w:noProof/>
            <w:webHidden/>
          </w:rPr>
          <w:fldChar w:fldCharType="end"/>
        </w:r>
      </w:hyperlink>
    </w:p>
    <w:p w14:paraId="7C51A0FF" w14:textId="2A49DA76" w:rsidR="003E5B95" w:rsidRPr="00C56ECF"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3955278" w:history="1">
        <w:r w:rsidR="003E5B95" w:rsidRPr="00C56ECF">
          <w:rPr>
            <w:rStyle w:val="Hyperlink"/>
            <w:b w:val="0"/>
            <w:bCs w:val="0"/>
            <w:noProof/>
          </w:rPr>
          <w:t>Figure 2: McGrath's Stress Process</w:t>
        </w:r>
        <w:r w:rsidR="003E5B95" w:rsidRPr="00C56ECF">
          <w:rPr>
            <w:b w:val="0"/>
            <w:bCs w:val="0"/>
            <w:noProof/>
            <w:webHidden/>
          </w:rPr>
          <w:tab/>
        </w:r>
        <w:r w:rsidR="003E5B95" w:rsidRPr="00C56ECF">
          <w:rPr>
            <w:b w:val="0"/>
            <w:bCs w:val="0"/>
            <w:noProof/>
            <w:webHidden/>
          </w:rPr>
          <w:fldChar w:fldCharType="begin"/>
        </w:r>
        <w:r w:rsidR="003E5B95" w:rsidRPr="00C56ECF">
          <w:rPr>
            <w:b w:val="0"/>
            <w:bCs w:val="0"/>
            <w:noProof/>
            <w:webHidden/>
          </w:rPr>
          <w:instrText xml:space="preserve"> PAGEREF _Toc73955278 \h </w:instrText>
        </w:r>
        <w:r w:rsidR="003E5B95" w:rsidRPr="00C56ECF">
          <w:rPr>
            <w:b w:val="0"/>
            <w:bCs w:val="0"/>
            <w:noProof/>
            <w:webHidden/>
          </w:rPr>
        </w:r>
        <w:r w:rsidR="003E5B95" w:rsidRPr="00C56ECF">
          <w:rPr>
            <w:b w:val="0"/>
            <w:bCs w:val="0"/>
            <w:noProof/>
            <w:webHidden/>
          </w:rPr>
          <w:fldChar w:fldCharType="separate"/>
        </w:r>
        <w:r w:rsidR="00FF336A">
          <w:rPr>
            <w:b w:val="0"/>
            <w:bCs w:val="0"/>
            <w:noProof/>
            <w:webHidden/>
          </w:rPr>
          <w:t>13</w:t>
        </w:r>
        <w:r w:rsidR="003E5B95" w:rsidRPr="00C56ECF">
          <w:rPr>
            <w:b w:val="0"/>
            <w:bCs w:val="0"/>
            <w:noProof/>
            <w:webHidden/>
          </w:rPr>
          <w:fldChar w:fldCharType="end"/>
        </w:r>
      </w:hyperlink>
    </w:p>
    <w:p w14:paraId="629A4F7F" w14:textId="310FB122" w:rsidR="003E5B95" w:rsidRPr="00C56ECF"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3955279" w:history="1">
        <w:r w:rsidR="003E5B95" w:rsidRPr="00C56ECF">
          <w:rPr>
            <w:rStyle w:val="Hyperlink"/>
            <w:b w:val="0"/>
            <w:bCs w:val="0"/>
            <w:noProof/>
          </w:rPr>
          <w:t>Figure 3: Conceptual Demand Appraisal Model</w:t>
        </w:r>
        <w:r w:rsidR="003E5B95" w:rsidRPr="00C56ECF">
          <w:rPr>
            <w:b w:val="0"/>
            <w:bCs w:val="0"/>
            <w:noProof/>
            <w:webHidden/>
          </w:rPr>
          <w:tab/>
        </w:r>
        <w:r w:rsidR="003E5B95" w:rsidRPr="00C56ECF">
          <w:rPr>
            <w:b w:val="0"/>
            <w:bCs w:val="0"/>
            <w:noProof/>
            <w:webHidden/>
          </w:rPr>
          <w:fldChar w:fldCharType="begin"/>
        </w:r>
        <w:r w:rsidR="003E5B95" w:rsidRPr="00C56ECF">
          <w:rPr>
            <w:b w:val="0"/>
            <w:bCs w:val="0"/>
            <w:noProof/>
            <w:webHidden/>
          </w:rPr>
          <w:instrText xml:space="preserve"> PAGEREF _Toc73955279 \h </w:instrText>
        </w:r>
        <w:r w:rsidR="003E5B95" w:rsidRPr="00C56ECF">
          <w:rPr>
            <w:b w:val="0"/>
            <w:bCs w:val="0"/>
            <w:noProof/>
            <w:webHidden/>
          </w:rPr>
        </w:r>
        <w:r w:rsidR="003E5B95" w:rsidRPr="00C56ECF">
          <w:rPr>
            <w:b w:val="0"/>
            <w:bCs w:val="0"/>
            <w:noProof/>
            <w:webHidden/>
          </w:rPr>
          <w:fldChar w:fldCharType="separate"/>
        </w:r>
        <w:r w:rsidR="00FF336A">
          <w:rPr>
            <w:b w:val="0"/>
            <w:bCs w:val="0"/>
            <w:noProof/>
            <w:webHidden/>
          </w:rPr>
          <w:t>121</w:t>
        </w:r>
        <w:r w:rsidR="003E5B95" w:rsidRPr="00C56ECF">
          <w:rPr>
            <w:b w:val="0"/>
            <w:bCs w:val="0"/>
            <w:noProof/>
            <w:webHidden/>
          </w:rPr>
          <w:fldChar w:fldCharType="end"/>
        </w:r>
      </w:hyperlink>
    </w:p>
    <w:p w14:paraId="54E89486" w14:textId="6A602A10" w:rsidR="003E5B95" w:rsidRPr="00C56ECF"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3955280" w:history="1">
        <w:r w:rsidR="003E5B95" w:rsidRPr="00C56ECF">
          <w:rPr>
            <w:rStyle w:val="Hyperlink"/>
            <w:b w:val="0"/>
            <w:bCs w:val="0"/>
            <w:noProof/>
          </w:rPr>
          <w:t>Figure 4: Demand Appraisal Model (DAM)</w:t>
        </w:r>
        <w:r w:rsidR="003E5B95" w:rsidRPr="00C56ECF">
          <w:rPr>
            <w:b w:val="0"/>
            <w:bCs w:val="0"/>
            <w:noProof/>
            <w:webHidden/>
          </w:rPr>
          <w:tab/>
        </w:r>
        <w:r w:rsidR="003E5B95" w:rsidRPr="00C56ECF">
          <w:rPr>
            <w:b w:val="0"/>
            <w:bCs w:val="0"/>
            <w:noProof/>
            <w:webHidden/>
          </w:rPr>
          <w:fldChar w:fldCharType="begin"/>
        </w:r>
        <w:r w:rsidR="003E5B95" w:rsidRPr="00C56ECF">
          <w:rPr>
            <w:b w:val="0"/>
            <w:bCs w:val="0"/>
            <w:noProof/>
            <w:webHidden/>
          </w:rPr>
          <w:instrText xml:space="preserve"> PAGEREF _Toc73955280 \h </w:instrText>
        </w:r>
        <w:r w:rsidR="003E5B95" w:rsidRPr="00C56ECF">
          <w:rPr>
            <w:b w:val="0"/>
            <w:bCs w:val="0"/>
            <w:noProof/>
            <w:webHidden/>
          </w:rPr>
        </w:r>
        <w:r w:rsidR="003E5B95" w:rsidRPr="00C56ECF">
          <w:rPr>
            <w:b w:val="0"/>
            <w:bCs w:val="0"/>
            <w:noProof/>
            <w:webHidden/>
          </w:rPr>
          <w:fldChar w:fldCharType="separate"/>
        </w:r>
        <w:r w:rsidR="00FF336A">
          <w:rPr>
            <w:b w:val="0"/>
            <w:bCs w:val="0"/>
            <w:noProof/>
            <w:webHidden/>
          </w:rPr>
          <w:t>139</w:t>
        </w:r>
        <w:r w:rsidR="003E5B95" w:rsidRPr="00C56ECF">
          <w:rPr>
            <w:b w:val="0"/>
            <w:bCs w:val="0"/>
            <w:noProof/>
            <w:webHidden/>
          </w:rPr>
          <w:fldChar w:fldCharType="end"/>
        </w:r>
      </w:hyperlink>
    </w:p>
    <w:p w14:paraId="7996CD44" w14:textId="7D1A8CA1" w:rsidR="003E5B95" w:rsidRPr="00C56ECF"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3955281" w:history="1">
        <w:r w:rsidR="003E5B95" w:rsidRPr="00C56ECF">
          <w:rPr>
            <w:rStyle w:val="Hyperlink"/>
            <w:b w:val="0"/>
            <w:bCs w:val="0"/>
            <w:noProof/>
          </w:rPr>
          <w:t>Figure 5: Results of DAM</w:t>
        </w:r>
        <w:r w:rsidR="003E5B95" w:rsidRPr="00C56ECF">
          <w:rPr>
            <w:b w:val="0"/>
            <w:bCs w:val="0"/>
            <w:noProof/>
            <w:webHidden/>
          </w:rPr>
          <w:tab/>
        </w:r>
        <w:r w:rsidR="003E5B95" w:rsidRPr="00C56ECF">
          <w:rPr>
            <w:b w:val="0"/>
            <w:bCs w:val="0"/>
            <w:noProof/>
            <w:webHidden/>
          </w:rPr>
          <w:fldChar w:fldCharType="begin"/>
        </w:r>
        <w:r w:rsidR="003E5B95" w:rsidRPr="00C56ECF">
          <w:rPr>
            <w:b w:val="0"/>
            <w:bCs w:val="0"/>
            <w:noProof/>
            <w:webHidden/>
          </w:rPr>
          <w:instrText xml:space="preserve"> PAGEREF _Toc73955281 \h </w:instrText>
        </w:r>
        <w:r w:rsidR="003E5B95" w:rsidRPr="00C56ECF">
          <w:rPr>
            <w:b w:val="0"/>
            <w:bCs w:val="0"/>
            <w:noProof/>
            <w:webHidden/>
          </w:rPr>
        </w:r>
        <w:r w:rsidR="003E5B95" w:rsidRPr="00C56ECF">
          <w:rPr>
            <w:b w:val="0"/>
            <w:bCs w:val="0"/>
            <w:noProof/>
            <w:webHidden/>
          </w:rPr>
          <w:fldChar w:fldCharType="separate"/>
        </w:r>
        <w:r w:rsidR="00FF336A">
          <w:rPr>
            <w:b w:val="0"/>
            <w:bCs w:val="0"/>
            <w:noProof/>
            <w:webHidden/>
          </w:rPr>
          <w:t>158</w:t>
        </w:r>
        <w:r w:rsidR="003E5B95" w:rsidRPr="00C56ECF">
          <w:rPr>
            <w:b w:val="0"/>
            <w:bCs w:val="0"/>
            <w:noProof/>
            <w:webHidden/>
          </w:rPr>
          <w:fldChar w:fldCharType="end"/>
        </w:r>
      </w:hyperlink>
    </w:p>
    <w:p w14:paraId="294D9BD2" w14:textId="6F0CB700" w:rsidR="003E5B95" w:rsidRPr="00C56ECF" w:rsidRDefault="00B46A8E">
      <w:pPr>
        <w:pStyle w:val="TableofFigures"/>
        <w:tabs>
          <w:tab w:val="right" w:leader="dot" w:pos="9350"/>
        </w:tabs>
        <w:rPr>
          <w:rFonts w:asciiTheme="minorHAnsi" w:eastAsiaTheme="minorEastAsia" w:hAnsiTheme="minorHAnsi" w:cstheme="minorBidi"/>
          <w:b w:val="0"/>
          <w:bCs w:val="0"/>
          <w:noProof/>
          <w:kern w:val="0"/>
          <w:sz w:val="22"/>
          <w:szCs w:val="22"/>
          <w:lang w:eastAsia="en-US"/>
        </w:rPr>
      </w:pPr>
      <w:hyperlink w:anchor="_Toc73955282" w:history="1">
        <w:r w:rsidR="003E5B95" w:rsidRPr="00C56ECF">
          <w:rPr>
            <w:rStyle w:val="Hyperlink"/>
            <w:b w:val="0"/>
            <w:bCs w:val="0"/>
            <w:noProof/>
          </w:rPr>
          <w:t>Figure 6: Cybersecurity Turnover Intention Model</w:t>
        </w:r>
        <w:r w:rsidR="003E5B95" w:rsidRPr="00C56ECF">
          <w:rPr>
            <w:b w:val="0"/>
            <w:bCs w:val="0"/>
            <w:noProof/>
            <w:webHidden/>
          </w:rPr>
          <w:tab/>
        </w:r>
        <w:r w:rsidR="003E5B95" w:rsidRPr="00C56ECF">
          <w:rPr>
            <w:b w:val="0"/>
            <w:bCs w:val="0"/>
            <w:noProof/>
            <w:webHidden/>
          </w:rPr>
          <w:fldChar w:fldCharType="begin"/>
        </w:r>
        <w:r w:rsidR="003E5B95" w:rsidRPr="00C56ECF">
          <w:rPr>
            <w:b w:val="0"/>
            <w:bCs w:val="0"/>
            <w:noProof/>
            <w:webHidden/>
          </w:rPr>
          <w:instrText xml:space="preserve"> PAGEREF _Toc73955282 \h </w:instrText>
        </w:r>
        <w:r w:rsidR="003E5B95" w:rsidRPr="00C56ECF">
          <w:rPr>
            <w:b w:val="0"/>
            <w:bCs w:val="0"/>
            <w:noProof/>
            <w:webHidden/>
          </w:rPr>
        </w:r>
        <w:r w:rsidR="003E5B95" w:rsidRPr="00C56ECF">
          <w:rPr>
            <w:b w:val="0"/>
            <w:bCs w:val="0"/>
            <w:noProof/>
            <w:webHidden/>
          </w:rPr>
          <w:fldChar w:fldCharType="separate"/>
        </w:r>
        <w:r w:rsidR="00FF336A">
          <w:rPr>
            <w:b w:val="0"/>
            <w:bCs w:val="0"/>
            <w:noProof/>
            <w:webHidden/>
          </w:rPr>
          <w:t>215</w:t>
        </w:r>
        <w:r w:rsidR="003E5B95" w:rsidRPr="00C56ECF">
          <w:rPr>
            <w:b w:val="0"/>
            <w:bCs w:val="0"/>
            <w:noProof/>
            <w:webHidden/>
          </w:rPr>
          <w:fldChar w:fldCharType="end"/>
        </w:r>
      </w:hyperlink>
    </w:p>
    <w:p w14:paraId="215F9358" w14:textId="77777777" w:rsidR="003E5B95" w:rsidRDefault="003E5B95" w:rsidP="003E5B95">
      <w:pPr>
        <w:spacing w:after="160" w:line="259" w:lineRule="auto"/>
        <w:ind w:firstLine="0"/>
        <w:contextualSpacing w:val="0"/>
        <w:rPr>
          <w:color w:val="000000" w:themeColor="text1"/>
        </w:rPr>
      </w:pPr>
      <w:r w:rsidRPr="00C56ECF">
        <w:rPr>
          <w:color w:val="000000" w:themeColor="text1"/>
        </w:rPr>
        <w:fldChar w:fldCharType="end"/>
      </w:r>
    </w:p>
    <w:p w14:paraId="3DE250E7" w14:textId="77777777" w:rsidR="003E5B95" w:rsidRDefault="003E5B95" w:rsidP="003E5B95">
      <w:pPr>
        <w:spacing w:after="160" w:line="259" w:lineRule="auto"/>
        <w:ind w:firstLine="0"/>
        <w:contextualSpacing w:val="0"/>
        <w:rPr>
          <w:color w:val="000000" w:themeColor="text1"/>
        </w:rPr>
        <w:sectPr w:rsidR="003E5B95" w:rsidSect="003E5B95">
          <w:pgSz w:w="12240" w:h="15840"/>
          <w:pgMar w:top="2880" w:right="1440" w:bottom="1440" w:left="1440" w:header="720" w:footer="720" w:gutter="0"/>
          <w:pgNumType w:fmt="lowerRoman"/>
          <w:cols w:space="720"/>
          <w:titlePg/>
          <w:docGrid w:linePitch="360"/>
        </w:sectPr>
      </w:pPr>
    </w:p>
    <w:p w14:paraId="624055BE" w14:textId="77777777" w:rsidR="003E5B95" w:rsidRPr="003E5B95" w:rsidRDefault="003E5B95" w:rsidP="006571C2">
      <w:pPr>
        <w:pStyle w:val="Heading1"/>
        <w:rPr>
          <w:b/>
          <w:bCs/>
        </w:rPr>
      </w:pPr>
      <w:bookmarkStart w:id="30" w:name="_Toc73602038"/>
      <w:bookmarkStart w:id="31" w:name="_Toc74045207"/>
      <w:bookmarkStart w:id="32" w:name="_Toc74087492"/>
      <w:bookmarkStart w:id="33" w:name="_Toc74258608"/>
      <w:bookmarkStart w:id="34" w:name="_Hlk73992978"/>
      <w:bookmarkStart w:id="35" w:name="_Toc40175842"/>
      <w:bookmarkStart w:id="36" w:name="_Toc40296586"/>
      <w:bookmarkEnd w:id="23"/>
      <w:bookmarkEnd w:id="24"/>
      <w:bookmarkEnd w:id="25"/>
      <w:r w:rsidRPr="003E5B95">
        <w:rPr>
          <w:b/>
          <w:bCs/>
        </w:rPr>
        <w:lastRenderedPageBreak/>
        <w:t>INTRODUCTION</w:t>
      </w:r>
      <w:bookmarkEnd w:id="30"/>
      <w:bookmarkEnd w:id="31"/>
      <w:bookmarkEnd w:id="32"/>
      <w:bookmarkEnd w:id="33"/>
    </w:p>
    <w:p w14:paraId="592645C5" w14:textId="32678897" w:rsidR="003E5B95" w:rsidRDefault="003E5B95" w:rsidP="003E5B95">
      <w:pPr>
        <w:rPr>
          <w:rFonts w:cs="Times New Roman"/>
          <w:kern w:val="0"/>
          <w:szCs w:val="24"/>
          <w:lang w:eastAsia="en-US"/>
        </w:rPr>
      </w:pPr>
      <w:bookmarkStart w:id="37" w:name="_Hlk28676064"/>
      <w:bookmarkStart w:id="38" w:name="_Hlk40189351"/>
      <w:r w:rsidRPr="00E31CF2">
        <w:rPr>
          <w:rFonts w:cs="Times New Roman"/>
          <w:kern w:val="0"/>
          <w:szCs w:val="24"/>
          <w:lang w:eastAsia="en-US"/>
        </w:rPr>
        <w:t xml:space="preserve">The concept of stress has gained significant attention from researchers across several disciplines. Among this research, information systems (IS) scholars have contributed to our understanding of stress by detailing individual experiences of stress that occur from the use of information communication technology, social media, online shopping, adherence to organizational information security requirements, and other workplace circumstances such as work overload. </w:t>
      </w:r>
      <w:proofErr w:type="gramStart"/>
      <w:r w:rsidRPr="00E31CF2">
        <w:rPr>
          <w:rFonts w:cs="Times New Roman"/>
          <w:kern w:val="0"/>
          <w:szCs w:val="24"/>
          <w:lang w:eastAsia="en-US"/>
        </w:rPr>
        <w:t>IS</w:t>
      </w:r>
      <w:proofErr w:type="gramEnd"/>
      <w:r w:rsidRPr="00E31CF2">
        <w:rPr>
          <w:rFonts w:cs="Times New Roman"/>
          <w:kern w:val="0"/>
          <w:szCs w:val="24"/>
          <w:lang w:eastAsia="en-US"/>
        </w:rPr>
        <w:t xml:space="preserve"> stress experiences have been studied in different professions, such as among information technology (IT) professionals, software developers, IT road warriors, and general computer end users. However, among this IS focused research, there are different conceptualizations and operationalizations of stress; how it is formed, how it is measured, and how individuals respond to it. Further, there is one critical segment of the information security (InfoSec) practice community that has been overlooked in this research to date, the cybersecurity profession. Indeed, our understanding of stress experiences among cybersecurity professionals is lacking, which is one of the most stress-prone, but least understood segments of the InfoSec practice community. </w:t>
      </w:r>
    </w:p>
    <w:p w14:paraId="2C4F780D" w14:textId="77777777" w:rsidR="003E5B95" w:rsidRDefault="003E5B95" w:rsidP="003E5B95">
      <w:pPr>
        <w:rPr>
          <w:rFonts w:cs="Times New Roman"/>
          <w:kern w:val="0"/>
          <w:szCs w:val="24"/>
          <w:lang w:eastAsia="en-US"/>
        </w:rPr>
        <w:sectPr w:rsidR="003E5B95" w:rsidSect="00C24E98">
          <w:footerReference w:type="default" r:id="rId12"/>
          <w:pgSz w:w="12240" w:h="15840"/>
          <w:pgMar w:top="2880" w:right="1440" w:bottom="1440" w:left="1440" w:header="720" w:footer="720" w:gutter="0"/>
          <w:pgNumType w:start="1"/>
          <w:cols w:space="720"/>
          <w:titlePg/>
          <w:docGrid w:linePitch="360"/>
        </w:sectPr>
      </w:pPr>
      <w:r w:rsidRPr="00E31CF2">
        <w:rPr>
          <w:rFonts w:cs="Times New Roman"/>
          <w:kern w:val="0"/>
          <w:szCs w:val="24"/>
          <w:lang w:eastAsia="en-US"/>
        </w:rPr>
        <w:t>Cybersecurity professionals work in a constantly changing adversarial threat landscape and are often required to adhere to ever-changing industry mandates, a work environment that is akin to a war zone. To understand how to approach the study of stress in the cybersecurity profession, we first need to review how stress has been approached by IS scholars in their study of cybersecurity-related phenomena. This dissertation seeks to provide some needed clarity and</w:t>
      </w:r>
    </w:p>
    <w:p w14:paraId="7FBD4A42" w14:textId="77777777" w:rsidR="003E5B95" w:rsidRDefault="003E5B95" w:rsidP="003E5B95">
      <w:pPr>
        <w:rPr>
          <w:rFonts w:cs="Times New Roman"/>
          <w:kern w:val="0"/>
          <w:szCs w:val="24"/>
          <w:lang w:eastAsia="en-US"/>
        </w:rPr>
      </w:pPr>
      <w:r w:rsidRPr="00E31CF2">
        <w:rPr>
          <w:rFonts w:cs="Times New Roman"/>
          <w:kern w:val="0"/>
          <w:szCs w:val="24"/>
          <w:lang w:eastAsia="en-US"/>
        </w:rPr>
        <w:lastRenderedPageBreak/>
        <w:t xml:space="preserve"> insight to this stream of research and does so by focusing on cybersecurity professionals. By doing so, we can begin to obtain a sense of the state of the art of knowledge concerning stress in the cybersecurity profession while finding gaps and trends and positing recommendations for future research.</w:t>
      </w:r>
    </w:p>
    <w:p w14:paraId="19ABA264" w14:textId="77777777" w:rsidR="003E5B95" w:rsidRPr="004363AF" w:rsidRDefault="003E5B95" w:rsidP="003E5B95">
      <w:pPr>
        <w:pStyle w:val="Caption"/>
        <w:keepNext/>
        <w:spacing w:line="360" w:lineRule="auto"/>
        <w:contextualSpacing w:val="0"/>
        <w:rPr>
          <w:sz w:val="24"/>
          <w:szCs w:val="24"/>
        </w:rPr>
      </w:pPr>
      <w:bookmarkStart w:id="39" w:name="_Toc74074412"/>
      <w:r w:rsidRPr="004363AF">
        <w:rPr>
          <w:sz w:val="24"/>
          <w:szCs w:val="24"/>
        </w:rPr>
        <w:t xml:space="preserve">Table </w:t>
      </w:r>
      <w:r w:rsidRPr="004363AF">
        <w:rPr>
          <w:sz w:val="24"/>
          <w:szCs w:val="24"/>
        </w:rPr>
        <w:fldChar w:fldCharType="begin"/>
      </w:r>
      <w:r w:rsidRPr="004363AF">
        <w:rPr>
          <w:sz w:val="24"/>
          <w:szCs w:val="24"/>
        </w:rPr>
        <w:instrText xml:space="preserve"> SEQ Table \* ARABIC </w:instrText>
      </w:r>
      <w:r w:rsidRPr="004363AF">
        <w:rPr>
          <w:sz w:val="24"/>
          <w:szCs w:val="24"/>
        </w:rPr>
        <w:fldChar w:fldCharType="separate"/>
      </w:r>
      <w:r>
        <w:rPr>
          <w:noProof/>
          <w:sz w:val="24"/>
          <w:szCs w:val="24"/>
        </w:rPr>
        <w:t>1</w:t>
      </w:r>
      <w:bookmarkEnd w:id="39"/>
      <w:r w:rsidRPr="004363AF">
        <w:rPr>
          <w:sz w:val="24"/>
          <w:szCs w:val="24"/>
        </w:rPr>
        <w:fldChar w:fldCharType="end"/>
      </w:r>
      <w:r w:rsidRPr="004363AF">
        <w:rPr>
          <w:sz w:val="24"/>
          <w:szCs w:val="24"/>
        </w:rPr>
        <w:t xml:space="preserve"> </w:t>
      </w:r>
    </w:p>
    <w:p w14:paraId="68819B1C" w14:textId="77777777" w:rsidR="003E5B95" w:rsidRPr="004363AF" w:rsidRDefault="003E5B95" w:rsidP="003E5B95">
      <w:pPr>
        <w:pStyle w:val="Caption"/>
        <w:keepNext/>
        <w:spacing w:line="360" w:lineRule="auto"/>
        <w:contextualSpacing w:val="0"/>
        <w:rPr>
          <w:b w:val="0"/>
          <w:bCs/>
          <w:i/>
          <w:iCs w:val="0"/>
          <w:sz w:val="24"/>
          <w:szCs w:val="24"/>
        </w:rPr>
      </w:pPr>
      <w:r w:rsidRPr="004363AF">
        <w:rPr>
          <w:b w:val="0"/>
          <w:bCs/>
          <w:i/>
          <w:iCs w:val="0"/>
          <w:sz w:val="24"/>
          <w:szCs w:val="24"/>
        </w:rPr>
        <w:t>Summary of Essays</w:t>
      </w:r>
    </w:p>
    <w:tbl>
      <w:tblPr>
        <w:tblStyle w:val="PlainTable4"/>
        <w:tblW w:w="0" w:type="auto"/>
        <w:tblBorders>
          <w:top w:val="single" w:sz="4" w:space="0" w:color="auto"/>
          <w:bottom w:val="single" w:sz="4" w:space="0" w:color="auto"/>
        </w:tblBorders>
        <w:tblLook w:val="04A0" w:firstRow="1" w:lastRow="0" w:firstColumn="1" w:lastColumn="0" w:noHBand="0" w:noVBand="1"/>
      </w:tblPr>
      <w:tblGrid>
        <w:gridCol w:w="2515"/>
        <w:gridCol w:w="2790"/>
        <w:gridCol w:w="4045"/>
      </w:tblGrid>
      <w:tr w:rsidR="003E5B95" w:rsidRPr="005C26C3" w14:paraId="7C6A081D" w14:textId="77777777" w:rsidTr="003E5B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tcBorders>
              <w:top w:val="single" w:sz="4" w:space="0" w:color="auto"/>
              <w:bottom w:val="single" w:sz="4" w:space="0" w:color="auto"/>
            </w:tcBorders>
          </w:tcPr>
          <w:p w14:paraId="4F2877A2" w14:textId="77777777" w:rsidR="003E5B95" w:rsidRPr="002B1959" w:rsidRDefault="003E5B95" w:rsidP="003E5B95">
            <w:pPr>
              <w:ind w:firstLine="0"/>
              <w:rPr>
                <w:rFonts w:cs="Times New Roman"/>
                <w:b w:val="0"/>
                <w:bCs w:val="0"/>
                <w:kern w:val="0"/>
                <w:szCs w:val="24"/>
                <w:lang w:eastAsia="en-US"/>
              </w:rPr>
            </w:pPr>
            <w:r w:rsidRPr="002B1959">
              <w:rPr>
                <w:rFonts w:cs="Times New Roman"/>
                <w:b w:val="0"/>
                <w:bCs w:val="0"/>
                <w:kern w:val="0"/>
                <w:szCs w:val="24"/>
                <w:lang w:eastAsia="en-US"/>
              </w:rPr>
              <w:t>Title</w:t>
            </w:r>
          </w:p>
        </w:tc>
        <w:tc>
          <w:tcPr>
            <w:tcW w:w="2790" w:type="dxa"/>
            <w:tcBorders>
              <w:top w:val="single" w:sz="4" w:space="0" w:color="auto"/>
              <w:bottom w:val="single" w:sz="4" w:space="0" w:color="auto"/>
            </w:tcBorders>
          </w:tcPr>
          <w:p w14:paraId="5E82625C" w14:textId="77777777" w:rsidR="003E5B95" w:rsidRPr="002B1959" w:rsidRDefault="003E5B95" w:rsidP="003E5B95">
            <w:pPr>
              <w:ind w:firstLine="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2B1959">
              <w:rPr>
                <w:rFonts w:cs="Times New Roman"/>
                <w:b w:val="0"/>
                <w:bCs w:val="0"/>
                <w:kern w:val="0"/>
                <w:szCs w:val="24"/>
                <w:lang w:eastAsia="en-US"/>
              </w:rPr>
              <w:t>Research Question</w:t>
            </w:r>
          </w:p>
        </w:tc>
        <w:tc>
          <w:tcPr>
            <w:tcW w:w="4045" w:type="dxa"/>
            <w:tcBorders>
              <w:top w:val="single" w:sz="4" w:space="0" w:color="auto"/>
              <w:bottom w:val="single" w:sz="4" w:space="0" w:color="auto"/>
            </w:tcBorders>
          </w:tcPr>
          <w:p w14:paraId="4B043B76" w14:textId="77777777" w:rsidR="003E5B95" w:rsidRPr="002B1959" w:rsidRDefault="003E5B95" w:rsidP="003E5B95">
            <w:pPr>
              <w:ind w:firstLine="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2B1959">
              <w:rPr>
                <w:rFonts w:cs="Times New Roman"/>
                <w:b w:val="0"/>
                <w:bCs w:val="0"/>
                <w:kern w:val="0"/>
                <w:szCs w:val="24"/>
                <w:lang w:eastAsia="en-US"/>
              </w:rPr>
              <w:t>Contribution</w:t>
            </w:r>
          </w:p>
        </w:tc>
      </w:tr>
      <w:tr w:rsidR="003E5B95" w14:paraId="222CC049" w14:textId="77777777" w:rsidTr="003E5B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15" w:type="dxa"/>
            <w:tcBorders>
              <w:top w:val="single" w:sz="4" w:space="0" w:color="auto"/>
            </w:tcBorders>
          </w:tcPr>
          <w:p w14:paraId="0AC6301B" w14:textId="77777777" w:rsidR="003E5B95" w:rsidRPr="002B1959" w:rsidRDefault="003E5B95" w:rsidP="003E5B95">
            <w:pPr>
              <w:spacing w:line="240" w:lineRule="auto"/>
              <w:ind w:firstLine="0"/>
              <w:rPr>
                <w:rFonts w:cs="Times New Roman"/>
                <w:b w:val="0"/>
                <w:bCs w:val="0"/>
                <w:kern w:val="0"/>
                <w:szCs w:val="24"/>
                <w:lang w:eastAsia="en-US"/>
              </w:rPr>
            </w:pPr>
            <w:r w:rsidRPr="002B1959">
              <w:rPr>
                <w:rFonts w:cs="Times New Roman"/>
                <w:b w:val="0"/>
                <w:bCs w:val="0"/>
                <w:color w:val="000000" w:themeColor="text1"/>
                <w:szCs w:val="24"/>
              </w:rPr>
              <w:t>Analyzing stress research in the information security literature and its application to the cybersecurity profession</w:t>
            </w:r>
          </w:p>
        </w:tc>
        <w:tc>
          <w:tcPr>
            <w:tcW w:w="2790" w:type="dxa"/>
            <w:tcBorders>
              <w:top w:val="single" w:sz="4" w:space="0" w:color="auto"/>
            </w:tcBorders>
          </w:tcPr>
          <w:p w14:paraId="7030411D" w14:textId="43DD29CC" w:rsidR="003E5B95" w:rsidRPr="002B1959" w:rsidRDefault="003E5B95" w:rsidP="003E5B95">
            <w:pPr>
              <w:pStyle w:val="TableNorm"/>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 xml:space="preserve">How </w:t>
            </w:r>
            <w:r w:rsidR="00426168">
              <w:rPr>
                <w:rFonts w:cs="Times New Roman"/>
                <w:szCs w:val="24"/>
              </w:rPr>
              <w:t xml:space="preserve">has </w:t>
            </w:r>
            <w:r w:rsidRPr="002B1959">
              <w:rPr>
                <w:rFonts w:cs="Times New Roman"/>
                <w:szCs w:val="24"/>
              </w:rPr>
              <w:t>stress been approached by IS scholars in their study of InfoSec phenomena?</w:t>
            </w:r>
          </w:p>
        </w:tc>
        <w:tc>
          <w:tcPr>
            <w:tcW w:w="4045" w:type="dxa"/>
            <w:tcBorders>
              <w:top w:val="single" w:sz="4" w:space="0" w:color="auto"/>
            </w:tcBorders>
          </w:tcPr>
          <w:p w14:paraId="063EF66A" w14:textId="65701416" w:rsidR="003E5B95" w:rsidRPr="002B1959" w:rsidRDefault="003E5B95" w:rsidP="003E5B95">
            <w:pPr>
              <w:pStyle w:val="ListParagraph"/>
              <w:numPr>
                <w:ilvl w:val="0"/>
                <w:numId w:val="16"/>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kern w:val="0"/>
                <w:sz w:val="24"/>
                <w:szCs w:val="24"/>
                <w:lang w:eastAsia="en-US"/>
              </w:rPr>
            </w:pPr>
            <w:r w:rsidRPr="002B1959">
              <w:rPr>
                <w:rFonts w:ascii="Times New Roman" w:hAnsi="Times New Roman" w:cs="Times New Roman"/>
                <w:kern w:val="0"/>
                <w:sz w:val="24"/>
                <w:szCs w:val="24"/>
                <w:lang w:eastAsia="en-US"/>
              </w:rPr>
              <w:t>Highlight the gaps in</w:t>
            </w:r>
            <w:r w:rsidRPr="002B1959">
              <w:rPr>
                <w:rFonts w:ascii="Times New Roman" w:hAnsi="Times New Roman" w:cs="Times New Roman"/>
                <w:color w:val="000000" w:themeColor="text1"/>
                <w:sz w:val="24"/>
                <w:szCs w:val="24"/>
              </w:rPr>
              <w:t xml:space="preserve"> </w:t>
            </w:r>
            <w:r w:rsidR="00426168">
              <w:rPr>
                <w:rFonts w:ascii="Times New Roman" w:hAnsi="Times New Roman" w:cs="Times New Roman"/>
                <w:color w:val="000000" w:themeColor="text1"/>
                <w:sz w:val="24"/>
                <w:szCs w:val="24"/>
              </w:rPr>
              <w:t xml:space="preserve">the </w:t>
            </w:r>
            <w:r w:rsidRPr="002B1959">
              <w:rPr>
                <w:rFonts w:ascii="Times New Roman" w:hAnsi="Times New Roman" w:cs="Times New Roman"/>
                <w:color w:val="000000" w:themeColor="text1"/>
                <w:sz w:val="24"/>
                <w:szCs w:val="24"/>
              </w:rPr>
              <w:t>current IS research relating to cybersecurity professionals</w:t>
            </w:r>
          </w:p>
          <w:p w14:paraId="3880042B" w14:textId="17BF7F57" w:rsidR="003E5B95" w:rsidRPr="002B1959" w:rsidRDefault="003E5B95" w:rsidP="003E5B95">
            <w:pPr>
              <w:pStyle w:val="ListParagraph"/>
              <w:numPr>
                <w:ilvl w:val="0"/>
                <w:numId w:val="16"/>
              </w:numPr>
              <w:ind w:left="36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kern w:val="0"/>
                <w:sz w:val="24"/>
                <w:szCs w:val="24"/>
                <w:lang w:eastAsia="en-US"/>
              </w:rPr>
            </w:pPr>
            <w:r w:rsidRPr="002B1959">
              <w:rPr>
                <w:rFonts w:ascii="Times New Roman" w:hAnsi="Times New Roman" w:cs="Times New Roman"/>
                <w:color w:val="000000" w:themeColor="text1"/>
                <w:sz w:val="24"/>
                <w:szCs w:val="24"/>
              </w:rPr>
              <w:t>Based on McGrath’s (1970) stress process, we contextualized the stress process among cybersecurity professionals and provide</w:t>
            </w:r>
            <w:r w:rsidR="00426168">
              <w:rPr>
                <w:rFonts w:ascii="Times New Roman" w:hAnsi="Times New Roman" w:cs="Times New Roman"/>
                <w:color w:val="000000" w:themeColor="text1"/>
                <w:sz w:val="24"/>
                <w:szCs w:val="24"/>
              </w:rPr>
              <w:t>d</w:t>
            </w:r>
            <w:r w:rsidRPr="002B1959">
              <w:rPr>
                <w:rFonts w:ascii="Times New Roman" w:hAnsi="Times New Roman" w:cs="Times New Roman"/>
                <w:color w:val="000000" w:themeColor="text1"/>
                <w:sz w:val="24"/>
                <w:szCs w:val="24"/>
              </w:rPr>
              <w:t xml:space="preserve"> future research directions</w:t>
            </w:r>
          </w:p>
        </w:tc>
      </w:tr>
      <w:tr w:rsidR="003E5B95" w14:paraId="2DEA8E06" w14:textId="77777777" w:rsidTr="003E5B95">
        <w:tc>
          <w:tcPr>
            <w:cnfStyle w:val="001000000000" w:firstRow="0" w:lastRow="0" w:firstColumn="1" w:lastColumn="0" w:oddVBand="0" w:evenVBand="0" w:oddHBand="0" w:evenHBand="0" w:firstRowFirstColumn="0" w:firstRowLastColumn="0" w:lastRowFirstColumn="0" w:lastRowLastColumn="0"/>
            <w:tcW w:w="2515" w:type="dxa"/>
          </w:tcPr>
          <w:p w14:paraId="29D9821E" w14:textId="77777777" w:rsidR="003E5B95" w:rsidRPr="002B1959" w:rsidRDefault="003E5B95" w:rsidP="003E5B95">
            <w:pPr>
              <w:spacing w:line="240" w:lineRule="auto"/>
              <w:ind w:firstLine="0"/>
              <w:rPr>
                <w:rFonts w:cs="Times New Roman"/>
                <w:b w:val="0"/>
                <w:bCs w:val="0"/>
                <w:kern w:val="0"/>
                <w:szCs w:val="24"/>
                <w:lang w:eastAsia="en-US"/>
              </w:rPr>
            </w:pPr>
            <w:r w:rsidRPr="002B1959">
              <w:rPr>
                <w:rFonts w:cs="Times New Roman"/>
                <w:b w:val="0"/>
                <w:bCs w:val="0"/>
                <w:color w:val="000000" w:themeColor="text1"/>
                <w:szCs w:val="24"/>
              </w:rPr>
              <w:t>Thinking outside the box: A multistage demand appraisal model for cybersecurity professionals</w:t>
            </w:r>
          </w:p>
        </w:tc>
        <w:tc>
          <w:tcPr>
            <w:tcW w:w="2790" w:type="dxa"/>
          </w:tcPr>
          <w:p w14:paraId="18618B53" w14:textId="77777777" w:rsidR="003E5B95" w:rsidRPr="002B1959"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iCs/>
                <w:szCs w:val="24"/>
              </w:rPr>
            </w:pPr>
            <w:r w:rsidRPr="002B1959">
              <w:rPr>
                <w:rFonts w:cs="Times New Roman"/>
                <w:iCs/>
                <w:szCs w:val="24"/>
              </w:rPr>
              <w:t>How do cybersecurity professionals appraise EMS technologies as sources of stress, and how do these appraisals result in different behavioral outcomes within the profession?</w:t>
            </w:r>
          </w:p>
          <w:p w14:paraId="712A9B22" w14:textId="77777777" w:rsidR="003E5B95" w:rsidRPr="002B1959" w:rsidRDefault="003E5B95" w:rsidP="003E5B95">
            <w:pPr>
              <w:ind w:firstLine="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4045" w:type="dxa"/>
          </w:tcPr>
          <w:p w14:paraId="0A8E5919" w14:textId="77777777" w:rsidR="003E5B95" w:rsidRPr="002B1959" w:rsidRDefault="003E5B95" w:rsidP="003E5B95">
            <w:pPr>
              <w:pStyle w:val="TableNorm"/>
              <w:numPr>
                <w:ilvl w:val="0"/>
                <w:numId w:val="17"/>
              </w:numPr>
              <w:ind w:left="36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2B1959">
              <w:rPr>
                <w:rFonts w:cs="Times New Roman"/>
                <w:szCs w:val="24"/>
              </w:rPr>
              <w:t>We show that stress experiences involve two broad phases: 1) cognitive appraisal and 2) savoring and coping responses</w:t>
            </w:r>
            <w:r w:rsidRPr="002B1959">
              <w:rPr>
                <w:rFonts w:cs="Times New Roman"/>
                <w:color w:val="000000" w:themeColor="text1"/>
                <w:szCs w:val="24"/>
              </w:rPr>
              <w:t xml:space="preserve"> </w:t>
            </w:r>
          </w:p>
          <w:p w14:paraId="11FCBD5F" w14:textId="40B59EF4" w:rsidR="003E5B95" w:rsidRPr="002B1959" w:rsidRDefault="003E5B95" w:rsidP="003E5B95">
            <w:pPr>
              <w:pStyle w:val="TableNorm"/>
              <w:numPr>
                <w:ilvl w:val="0"/>
                <w:numId w:val="17"/>
              </w:numPr>
              <w:ind w:left="360"/>
              <w:cnfStyle w:val="000000000000" w:firstRow="0" w:lastRow="0" w:firstColumn="0" w:lastColumn="0" w:oddVBand="0" w:evenVBand="0" w:oddHBand="0" w:evenHBand="0" w:firstRowFirstColumn="0" w:firstRowLastColumn="0" w:lastRowFirstColumn="0" w:lastRowLastColumn="0"/>
              <w:rPr>
                <w:rFonts w:cs="Times New Roman"/>
                <w:color w:val="000000" w:themeColor="text1"/>
                <w:szCs w:val="24"/>
              </w:rPr>
            </w:pPr>
            <w:r w:rsidRPr="002B1959">
              <w:rPr>
                <w:rFonts w:cs="Times New Roman"/>
                <w:szCs w:val="24"/>
              </w:rPr>
              <w:t>We extend IS stress research in the positive psychology domain</w:t>
            </w:r>
            <w:r w:rsidR="00426168">
              <w:rPr>
                <w:rFonts w:cs="Times New Roman"/>
                <w:szCs w:val="24"/>
              </w:rPr>
              <w:t xml:space="preserve">, </w:t>
            </w:r>
            <w:r w:rsidRPr="002B1959">
              <w:rPr>
                <w:rFonts w:cs="Times New Roman"/>
                <w:szCs w:val="24"/>
              </w:rPr>
              <w:t>as opposed to prior IS research that primarily has focused on the negative aspects of a demand</w:t>
            </w:r>
            <w:r w:rsidRPr="002B1959">
              <w:rPr>
                <w:rFonts w:cs="Times New Roman"/>
                <w:color w:val="000000" w:themeColor="text1"/>
                <w:szCs w:val="24"/>
              </w:rPr>
              <w:t xml:space="preserve"> </w:t>
            </w:r>
          </w:p>
          <w:p w14:paraId="27F99C36" w14:textId="77777777" w:rsidR="003E5B95" w:rsidRPr="002B1959" w:rsidRDefault="003E5B95" w:rsidP="003E5B95">
            <w:pPr>
              <w:pStyle w:val="ListParagraph"/>
              <w:numPr>
                <w:ilvl w:val="0"/>
                <w:numId w:val="17"/>
              </w:numPr>
              <w:ind w:left="3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kern w:val="0"/>
                <w:sz w:val="24"/>
                <w:szCs w:val="24"/>
                <w:lang w:eastAsia="en-US"/>
              </w:rPr>
            </w:pPr>
            <w:r w:rsidRPr="002B1959">
              <w:rPr>
                <w:rFonts w:ascii="Times New Roman" w:hAnsi="Times New Roman" w:cs="Times New Roman"/>
                <w:sz w:val="24"/>
                <w:szCs w:val="24"/>
              </w:rPr>
              <w:t>We show through a theory-driven approach that savoring and coping are related but distinct and separate mechanisms</w:t>
            </w:r>
          </w:p>
        </w:tc>
      </w:tr>
    </w:tbl>
    <w:p w14:paraId="1A573DD2" w14:textId="77777777" w:rsidR="003E5B95" w:rsidRDefault="003E5B95" w:rsidP="003E5B95">
      <w:pPr>
        <w:ind w:firstLine="0"/>
        <w:rPr>
          <w:rFonts w:cs="Times New Roman"/>
          <w:b/>
          <w:bCs/>
          <w:iCs/>
          <w:szCs w:val="24"/>
        </w:rPr>
      </w:pPr>
      <w:bookmarkStart w:id="40" w:name="_Toc40175844"/>
      <w:bookmarkEnd w:id="37"/>
      <w:bookmarkEnd w:id="38"/>
    </w:p>
    <w:p w14:paraId="59BC65AE" w14:textId="43770F79" w:rsidR="002B1959" w:rsidRDefault="002B1959" w:rsidP="00D92A1A">
      <w:pPr>
        <w:spacing w:before="120"/>
        <w:rPr>
          <w:rFonts w:cs="Times New Roman"/>
          <w:bCs/>
          <w:kern w:val="0"/>
          <w:szCs w:val="24"/>
          <w:lang w:eastAsia="en-US"/>
        </w:rPr>
      </w:pPr>
      <w:bookmarkStart w:id="41" w:name="_Toc73602039"/>
      <w:bookmarkEnd w:id="34"/>
      <w:r w:rsidRPr="00E31CF2">
        <w:rPr>
          <w:rFonts w:cs="Times New Roman"/>
          <w:kern w:val="0"/>
          <w:szCs w:val="24"/>
          <w:lang w:eastAsia="en-US"/>
        </w:rPr>
        <w:t>In this dissertation, we conducted two essays designed to accomplish two broad goals 1) synthesized the trends, gaps, and limitations of the research on stress as it applies to cybersecurity professionals, and 2) described and tested a demand appraisal model for cybersecurity professionals to show how workplace factors such as</w:t>
      </w:r>
      <w:r w:rsidRPr="00E31CF2">
        <w:rPr>
          <w:rFonts w:cs="Times New Roman"/>
          <w:iCs/>
          <w:color w:val="171717"/>
          <w:kern w:val="0"/>
          <w:szCs w:val="24"/>
          <w:shd w:val="clear" w:color="auto" w:fill="FFFFFF"/>
          <w:lang w:eastAsia="en-US"/>
        </w:rPr>
        <w:t xml:space="preserve"> implementing and/or </w:t>
      </w:r>
      <w:r w:rsidRPr="00E31CF2">
        <w:rPr>
          <w:rFonts w:cs="Times New Roman"/>
          <w:iCs/>
          <w:color w:val="171717"/>
          <w:kern w:val="0"/>
          <w:szCs w:val="24"/>
          <w:shd w:val="clear" w:color="auto" w:fill="FFFFFF"/>
          <w:lang w:eastAsia="en-US"/>
        </w:rPr>
        <w:lastRenderedPageBreak/>
        <w:t xml:space="preserve">maintaining organizations’ EMS technologies, can induce the feeling of challenge and hindrance stress simultaneously, more so hindrance stress than challenge stress among cybersecurity professionals. </w:t>
      </w:r>
      <w:r w:rsidRPr="00E31CF2">
        <w:rPr>
          <w:rFonts w:cs="Times New Roman"/>
          <w:bCs/>
          <w:kern w:val="0"/>
          <w:szCs w:val="24"/>
          <w:lang w:eastAsia="en-US"/>
        </w:rPr>
        <w:t>The essays are described below and summarized</w:t>
      </w:r>
      <w:r>
        <w:rPr>
          <w:rFonts w:cs="Times New Roman"/>
          <w:bCs/>
          <w:kern w:val="0"/>
          <w:szCs w:val="24"/>
          <w:lang w:eastAsia="en-US"/>
        </w:rPr>
        <w:t xml:space="preserve"> above</w:t>
      </w:r>
      <w:r w:rsidRPr="00E31CF2">
        <w:rPr>
          <w:rFonts w:cs="Times New Roman"/>
          <w:bCs/>
          <w:kern w:val="0"/>
          <w:szCs w:val="24"/>
          <w:lang w:eastAsia="en-US"/>
        </w:rPr>
        <w:t xml:space="preserve"> in Table 1. </w:t>
      </w:r>
    </w:p>
    <w:p w14:paraId="7134B8D6" w14:textId="0C5F73D0" w:rsidR="001520D2" w:rsidRDefault="006571C2" w:rsidP="001520D2">
      <w:pPr>
        <w:spacing w:after="160"/>
        <w:contextualSpacing w:val="0"/>
        <w:rPr>
          <w:rFonts w:cs="Times New Roman"/>
          <w:kern w:val="0"/>
          <w:szCs w:val="24"/>
          <w:lang w:eastAsia="en-US"/>
        </w:rPr>
      </w:pPr>
      <w:r w:rsidRPr="006571C2">
        <w:rPr>
          <w:rFonts w:cs="Times New Roman"/>
          <w:kern w:val="0"/>
          <w:szCs w:val="24"/>
          <w:lang w:eastAsia="en-US"/>
        </w:rPr>
        <w:t xml:space="preserve">The first essay in this dissertation is an assessing review as described by </w:t>
      </w:r>
      <w:r w:rsidRPr="006571C2">
        <w:rPr>
          <w:rFonts w:cs="Times New Roman"/>
          <w:noProof/>
          <w:kern w:val="0"/>
          <w:szCs w:val="24"/>
          <w:lang w:eastAsia="en-US"/>
        </w:rPr>
        <w:t>Leidner (2018)</w:t>
      </w:r>
      <w:r w:rsidRPr="006571C2">
        <w:rPr>
          <w:rFonts w:cs="Times New Roman"/>
          <w:kern w:val="0"/>
          <w:szCs w:val="24"/>
          <w:lang w:eastAsia="en-US"/>
        </w:rPr>
        <w:t xml:space="preserve">. We utilize the stress process as described by </w:t>
      </w:r>
      <w:r w:rsidRPr="006571C2">
        <w:rPr>
          <w:rFonts w:cs="Times New Roman"/>
          <w:noProof/>
          <w:kern w:val="0"/>
          <w:szCs w:val="24"/>
          <w:lang w:eastAsia="en-US"/>
        </w:rPr>
        <w:t>McGrath (1970)</w:t>
      </w:r>
      <w:r w:rsidRPr="006571C2">
        <w:rPr>
          <w:rFonts w:cs="Times New Roman"/>
          <w:kern w:val="0"/>
          <w:szCs w:val="24"/>
          <w:lang w:eastAsia="en-US"/>
        </w:rPr>
        <w:t xml:space="preserve"> to organize the literature review in terms of four broad processes: demands, appraisal, stress responses, and stress related outcomes. In doing so, we identify key gaps in the literature relating to cybersecurity professionals and then provide directions for future research. </w:t>
      </w:r>
    </w:p>
    <w:p w14:paraId="0DEBA035" w14:textId="6B18DCA2" w:rsidR="003E5B95" w:rsidRPr="006571C2" w:rsidRDefault="006571C2" w:rsidP="001520D2">
      <w:pPr>
        <w:spacing w:after="160"/>
        <w:contextualSpacing w:val="0"/>
        <w:rPr>
          <w:rFonts w:cs="Times New Roman"/>
          <w:kern w:val="0"/>
          <w:szCs w:val="24"/>
          <w:lang w:eastAsia="en-US"/>
        </w:rPr>
        <w:sectPr w:rsidR="003E5B95" w:rsidRPr="006571C2" w:rsidSect="003E5B95">
          <w:pgSz w:w="12240" w:h="15840"/>
          <w:pgMar w:top="1440" w:right="1440" w:bottom="1440" w:left="1440" w:header="720" w:footer="720" w:gutter="0"/>
          <w:cols w:space="720"/>
          <w:titlePg/>
          <w:docGrid w:linePitch="360"/>
        </w:sectPr>
      </w:pPr>
      <w:r w:rsidRPr="006571C2">
        <w:rPr>
          <w:rFonts w:cs="Times New Roman"/>
          <w:kern w:val="0"/>
          <w:szCs w:val="24"/>
          <w:lang w:eastAsia="en-US"/>
        </w:rPr>
        <w:t xml:space="preserve">The second essay builds upon a research gap identified in essay one and focuses on the demand appraisal process, a much-overlooked area in the stress research. Since stress is a context specific phenomenon, we used the context of employee monitoring and surveillance (EMS) within the cybersecurity domain to explain a demand appraisal process. The EMS context is particularly important </w:t>
      </w:r>
      <w:r w:rsidR="00426168">
        <w:rPr>
          <w:rFonts w:cs="Times New Roman"/>
          <w:kern w:val="0"/>
          <w:szCs w:val="24"/>
          <w:lang w:eastAsia="en-US"/>
        </w:rPr>
        <w:t xml:space="preserve">because, </w:t>
      </w:r>
      <w:r w:rsidRPr="006571C2">
        <w:rPr>
          <w:rFonts w:cs="Times New Roman"/>
          <w:kern w:val="0"/>
          <w:szCs w:val="24"/>
          <w:lang w:eastAsia="en-US"/>
        </w:rPr>
        <w:t>t</w:t>
      </w:r>
      <w:r w:rsidRPr="006571C2">
        <w:rPr>
          <w:rFonts w:cs="Times New Roman"/>
          <w:iCs/>
          <w:color w:val="171717"/>
          <w:kern w:val="0"/>
          <w:szCs w:val="24"/>
          <w:shd w:val="clear" w:color="auto" w:fill="FFFFFF"/>
          <w:lang w:eastAsia="en-US"/>
        </w:rPr>
        <w:t>o maintain security, organizations use increasingly sophisticated EMS technologies</w:t>
      </w:r>
      <w:r w:rsidR="00426168">
        <w:rPr>
          <w:rFonts w:cs="Times New Roman"/>
          <w:iCs/>
          <w:color w:val="171717"/>
          <w:kern w:val="0"/>
          <w:szCs w:val="24"/>
          <w:shd w:val="clear" w:color="auto" w:fill="FFFFFF"/>
          <w:lang w:eastAsia="en-US"/>
        </w:rPr>
        <w:t>. A</w:t>
      </w:r>
      <w:r w:rsidRPr="006571C2">
        <w:rPr>
          <w:rFonts w:cs="Times New Roman"/>
          <w:iCs/>
          <w:color w:val="171717"/>
          <w:kern w:val="0"/>
          <w:szCs w:val="24"/>
          <w:shd w:val="clear" w:color="auto" w:fill="FFFFFF"/>
          <w:lang w:eastAsia="en-US"/>
        </w:rPr>
        <w:t xml:space="preserve">lthough EMS technologies represent an attempt to secure the firm’s data and more, they also have the unintended consequence of creating stress among cybersecurity professionals implementing and/or maintaining such control. In this research, we examine the effects of EMS technologies on cybersecurity professionals through a mixed methods research design where we first qualitatively developed and validated a demand appraisal model (DAM) that was then empirically tested through a field survey of 267 cybersecurity professionals in the United States. Through this research, we show that by implementing and/or maintaining organizations’ EMS technologies, cybersecurity professionals experience both challenge and hindrance stress, hindrance stress a more prevalent experience than challenge stress. However, in the event of challenge stress, EMS technologies are approached in a problem-focused manner, </w:t>
      </w:r>
      <w:r w:rsidRPr="006571C2">
        <w:rPr>
          <w:rFonts w:cs="Times New Roman"/>
          <w:iCs/>
          <w:color w:val="171717"/>
          <w:kern w:val="0"/>
          <w:szCs w:val="24"/>
          <w:shd w:val="clear" w:color="auto" w:fill="FFFFFF"/>
          <w:lang w:eastAsia="en-US"/>
        </w:rPr>
        <w:lastRenderedPageBreak/>
        <w:t xml:space="preserve">where cybersecurity professionals savor the challenges through work adaptations, self-adaptations, and technology adaptations. The feeling of hindrance stress is more closely associated with approaching EMS technologies in an emotion-focused manner where efforts are directed toward stabilizing the internal state of disturbances by denying the presence of a stressor through wishful thinking, distancing from it, venting about it, and seeking emotional support. </w:t>
      </w:r>
      <w:r w:rsidRPr="006571C2">
        <w:rPr>
          <w:rFonts w:cs="Times New Roman"/>
          <w:bCs/>
          <w:kern w:val="0"/>
          <w:szCs w:val="24"/>
          <w:lang w:eastAsia="en-US"/>
        </w:rPr>
        <w:t>Overall, this research provides a holistic approach toward understanding stress among cybersecurity professionals</w:t>
      </w:r>
      <w:r w:rsidR="002B1959">
        <w:rPr>
          <w:rFonts w:cs="Times New Roman"/>
          <w:bCs/>
          <w:kern w:val="0"/>
          <w:szCs w:val="24"/>
          <w:lang w:eastAsia="en-US"/>
        </w:rPr>
        <w:t>.</w:t>
      </w:r>
    </w:p>
    <w:p w14:paraId="236DCF99" w14:textId="77777777" w:rsidR="003E5B95" w:rsidRPr="003E5B95" w:rsidRDefault="003E5B95" w:rsidP="003E5B95">
      <w:pPr>
        <w:pStyle w:val="Heading1"/>
        <w:rPr>
          <w:b/>
          <w:bCs/>
        </w:rPr>
      </w:pPr>
      <w:bookmarkStart w:id="42" w:name="_Toc74045208"/>
      <w:bookmarkStart w:id="43" w:name="_Toc74087493"/>
      <w:bookmarkStart w:id="44" w:name="_Toc74258609"/>
      <w:r w:rsidRPr="003E5B95">
        <w:rPr>
          <w:b/>
          <w:bCs/>
        </w:rPr>
        <w:lastRenderedPageBreak/>
        <w:t>ANALYZING STRESS RESEARCH IN THE INFORMATION SECURITY LITERATURE AND ITS APPLICATION TO THE CYBERSECURITY PROFESSION</w:t>
      </w:r>
      <w:bookmarkEnd w:id="41"/>
      <w:bookmarkEnd w:id="42"/>
      <w:bookmarkEnd w:id="43"/>
      <w:bookmarkEnd w:id="44"/>
    </w:p>
    <w:p w14:paraId="46C1D8DA" w14:textId="77777777" w:rsidR="003E5B95" w:rsidRDefault="003E5B95" w:rsidP="003E5B95">
      <w:pPr>
        <w:rPr>
          <w:rFonts w:cs="Times New Roman"/>
          <w:szCs w:val="24"/>
        </w:rPr>
      </w:pPr>
      <w:r w:rsidRPr="00E12CFD">
        <w:rPr>
          <w:rFonts w:cs="Times New Roman"/>
          <w:szCs w:val="24"/>
        </w:rPr>
        <w:t xml:space="preserve">Among the most devastating forces facing modern, hyper-connected organizations today is the lack of qualified, talented cybersecurity professionals who are needed to direct and lead their vital information security (InfoSec) programs. A recent global cybersecurity workforce survey of 1,500 cybersecurity professionals in North America, Latin America, Asia-Pacific, and Europe found that 59% of the respondents mentioned that their organizations were at a moderate to extreme risk of cybersecurity incidents because of a shortage of cybersecurity staff </w:t>
      </w:r>
      <w:r>
        <w:rPr>
          <w:rFonts w:cs="Times New Roman"/>
          <w:noProof/>
          <w:szCs w:val="24"/>
        </w:rPr>
        <w:t>((ISC)², 2018)</w:t>
      </w:r>
      <w:r w:rsidRPr="00E12CFD">
        <w:rPr>
          <w:rFonts w:cs="Times New Roman"/>
          <w:szCs w:val="24"/>
        </w:rPr>
        <w:t>. This is a pervasive problem across all industries, and the shortage has been ranked as the number one concern among industry executives, outranking budget, work–life balance, and time constraints as having one of the highest negative effects on job satisfaction among organizations’ existing cybersecurity staff (</w:t>
      </w:r>
      <w:r>
        <w:rPr>
          <w:rFonts w:cs="Times New Roman"/>
          <w:szCs w:val="24"/>
        </w:rPr>
        <w:t>(</w:t>
      </w:r>
      <w:r w:rsidRPr="00E12CFD">
        <w:rPr>
          <w:rFonts w:cs="Times New Roman"/>
          <w:szCs w:val="24"/>
        </w:rPr>
        <w:t>ISC</w:t>
      </w:r>
      <w:r>
        <w:rPr>
          <w:rFonts w:cs="Times New Roman"/>
          <w:szCs w:val="24"/>
        </w:rPr>
        <w:t>)</w:t>
      </w:r>
      <w:r w:rsidRPr="00E12CFD">
        <w:rPr>
          <w:rFonts w:cs="Times New Roman"/>
          <w:szCs w:val="24"/>
        </w:rPr>
        <w:t>² 2018). Yet despite an awareness of this concern, we still know relatively little about the underlying conditions that have contributed to this shortage. This essay focuses on one such underlying condition—stress—and its impact on the cybersecurity profession.</w:t>
      </w:r>
    </w:p>
    <w:p w14:paraId="15A90CD9" w14:textId="77777777" w:rsidR="003E5B95" w:rsidRDefault="003E5B95" w:rsidP="003E5B95">
      <w:pPr>
        <w:rPr>
          <w:rFonts w:cs="Times New Roman"/>
          <w:szCs w:val="24"/>
        </w:rPr>
        <w:sectPr w:rsidR="003E5B95" w:rsidSect="003E5B95">
          <w:pgSz w:w="12240" w:h="15840"/>
          <w:pgMar w:top="2880" w:right="1440" w:bottom="1440" w:left="1440" w:header="720" w:footer="720" w:gutter="0"/>
          <w:cols w:space="720"/>
          <w:titlePg/>
          <w:docGrid w:linePitch="360"/>
        </w:sectPr>
      </w:pPr>
      <w:r w:rsidRPr="00E12CFD">
        <w:rPr>
          <w:rFonts w:cs="Times New Roman"/>
          <w:szCs w:val="24"/>
        </w:rPr>
        <w:t>People experience stress in both their personal and professional lives. In their professional lives, stress is primarily referred to as job stress or work-related stress. According to the American Institute of Stress, job stress is a major form of stress among American adults, with over 40% of American professionals claiming their jobs are extremely stressful and 25% seeing</w:t>
      </w:r>
    </w:p>
    <w:p w14:paraId="5076CDBD" w14:textId="6C1E58F9" w:rsidR="003E5B95" w:rsidRPr="00E12CFD" w:rsidRDefault="003E5B95" w:rsidP="003E5B95">
      <w:pPr>
        <w:ind w:firstLine="0"/>
        <w:rPr>
          <w:rFonts w:cs="Times New Roman"/>
          <w:szCs w:val="24"/>
        </w:rPr>
      </w:pPr>
      <w:r w:rsidRPr="00E12CFD">
        <w:rPr>
          <w:rFonts w:cs="Times New Roman"/>
          <w:szCs w:val="24"/>
        </w:rPr>
        <w:lastRenderedPageBreak/>
        <w:t xml:space="preserve">their jobs as one of their </w:t>
      </w:r>
      <w:r w:rsidR="00426168">
        <w:rPr>
          <w:rFonts w:cs="Times New Roman"/>
          <w:szCs w:val="24"/>
        </w:rPr>
        <w:t>primary</w:t>
      </w:r>
      <w:r w:rsidRPr="00E12CFD">
        <w:rPr>
          <w:rFonts w:cs="Times New Roman"/>
          <w:szCs w:val="24"/>
        </w:rPr>
        <w:t xml:space="preserve"> sources of stress</w:t>
      </w:r>
      <w:r w:rsidRPr="00E12CFD">
        <w:rPr>
          <w:rFonts w:cs="Times New Roman"/>
          <w:szCs w:val="24"/>
          <w:vertAlign w:val="superscript"/>
        </w:rPr>
        <w:footnoteReference w:id="1"/>
      </w:r>
      <w:r w:rsidRPr="00E12CFD">
        <w:rPr>
          <w:rFonts w:cs="Times New Roman"/>
          <w:szCs w:val="24"/>
        </w:rPr>
        <w:t>. Nationally, stress has also been reported as having a large cost to healthcare, with estimates of $190B</w:t>
      </w:r>
      <w:r w:rsidR="00D072A7">
        <w:rPr>
          <w:rFonts w:cs="Times New Roman"/>
          <w:szCs w:val="24"/>
        </w:rPr>
        <w:t xml:space="preserve"> USD </w:t>
      </w:r>
      <w:r w:rsidRPr="00E12CFD">
        <w:rPr>
          <w:rFonts w:cs="Times New Roman"/>
          <w:szCs w:val="24"/>
        </w:rPr>
        <w:t xml:space="preserve">in 2015 </w:t>
      </w:r>
      <w:r>
        <w:rPr>
          <w:rFonts w:cs="Times New Roman"/>
          <w:noProof/>
          <w:szCs w:val="24"/>
        </w:rPr>
        <w:t>(Blanding, 2015)</w:t>
      </w:r>
      <w:r w:rsidRPr="00E12CFD">
        <w:rPr>
          <w:rFonts w:cs="Times New Roman"/>
          <w:szCs w:val="24"/>
        </w:rPr>
        <w:t xml:space="preserve">. </w:t>
      </w:r>
    </w:p>
    <w:p w14:paraId="78BFB070" w14:textId="370CF5BB" w:rsidR="003E5B95" w:rsidRPr="00E12CFD" w:rsidRDefault="003E5B95" w:rsidP="003E5B95">
      <w:pPr>
        <w:rPr>
          <w:rFonts w:cs="Times New Roman"/>
          <w:szCs w:val="24"/>
        </w:rPr>
      </w:pPr>
      <w:r w:rsidRPr="00E12CFD">
        <w:rPr>
          <w:rFonts w:cs="Times New Roman"/>
          <w:szCs w:val="24"/>
        </w:rPr>
        <w:t>This impact has not gone unnoticed, gaining significant attention from different disciplines, including medicine, sociology, criminology, psychology, and business. However, because of the distinct paradigms and methodologies presented within every discipline</w:t>
      </w:r>
      <w:r>
        <w:rPr>
          <w:rFonts w:cs="Times New Roman"/>
          <w:szCs w:val="24"/>
        </w:rPr>
        <w:t xml:space="preserve"> </w:t>
      </w:r>
      <w:r>
        <w:rPr>
          <w:rFonts w:cs="Times New Roman"/>
          <w:noProof/>
          <w:szCs w:val="24"/>
        </w:rPr>
        <w:t>(Le Fevre et al., 2003)</w:t>
      </w:r>
      <w:r w:rsidR="00D072A7">
        <w:rPr>
          <w:rFonts w:cs="Times New Roman"/>
          <w:noProof/>
          <w:szCs w:val="24"/>
        </w:rPr>
        <w:t xml:space="preserve">, </w:t>
      </w:r>
      <w:r w:rsidRPr="00E12CFD">
        <w:rPr>
          <w:rFonts w:cs="Times New Roman"/>
          <w:szCs w:val="24"/>
        </w:rPr>
        <w:t>stress is conceptualized, defined, and operationalized differently in certain steams of the social sciences literature (Cooper et al.</w:t>
      </w:r>
      <w:r w:rsidR="004730CB">
        <w:rPr>
          <w:rFonts w:cs="Times New Roman"/>
          <w:szCs w:val="24"/>
        </w:rPr>
        <w:t>,</w:t>
      </w:r>
      <w:r w:rsidRPr="00E12CFD">
        <w:rPr>
          <w:rFonts w:cs="Times New Roman"/>
          <w:szCs w:val="24"/>
        </w:rPr>
        <w:t xml:space="preserve"> 2001). For example, in the organization</w:t>
      </w:r>
      <w:r>
        <w:rPr>
          <w:rFonts w:cs="Times New Roman"/>
          <w:szCs w:val="24"/>
        </w:rPr>
        <w:t>al</w:t>
      </w:r>
      <w:r w:rsidRPr="00E12CFD">
        <w:rPr>
          <w:rFonts w:cs="Times New Roman"/>
          <w:szCs w:val="24"/>
        </w:rPr>
        <w:t xml:space="preserve"> behavior literature, stress is defined as a naturally occurring mind–body response to demanding and/or emergency situations that are either chronic or episodic in nature (Quick et al.</w:t>
      </w:r>
      <w:r w:rsidR="004730CB">
        <w:rPr>
          <w:rFonts w:cs="Times New Roman"/>
          <w:szCs w:val="24"/>
        </w:rPr>
        <w:t>,</w:t>
      </w:r>
      <w:r w:rsidRPr="00E12CFD">
        <w:rPr>
          <w:rFonts w:cs="Times New Roman"/>
          <w:szCs w:val="24"/>
        </w:rPr>
        <w:t xml:space="preserve">1987); whereas in the social sciences literature, stress is defined as a negative discrepancy between an individual’s perceived state and desired state, provided that the discrepancy is considered important to the individual (Edwards </w:t>
      </w:r>
      <w:r w:rsidR="00A20A73">
        <w:rPr>
          <w:rFonts w:cs="Times New Roman"/>
          <w:szCs w:val="24"/>
        </w:rPr>
        <w:t xml:space="preserve">&amp; </w:t>
      </w:r>
      <w:r w:rsidRPr="00E12CFD">
        <w:rPr>
          <w:rFonts w:cs="Times New Roman"/>
          <w:szCs w:val="24"/>
        </w:rPr>
        <w:t>Cooper</w:t>
      </w:r>
      <w:r w:rsidR="004730CB">
        <w:rPr>
          <w:rFonts w:cs="Times New Roman"/>
          <w:szCs w:val="24"/>
        </w:rPr>
        <w:t xml:space="preserve">, </w:t>
      </w:r>
      <w:r w:rsidRPr="00E12CFD">
        <w:rPr>
          <w:rFonts w:cs="Times New Roman"/>
          <w:szCs w:val="24"/>
        </w:rPr>
        <w:t xml:space="preserve">1988). In the psychology literature, stress is defined both in terms of a relationship between a person and the environment, and stress is appraised by the person as taxing, exceeding his/her resources, or endangering his/her well-being (Lazarus </w:t>
      </w:r>
      <w:r w:rsidR="00A20A73">
        <w:rPr>
          <w:rFonts w:cs="Times New Roman"/>
          <w:szCs w:val="24"/>
        </w:rPr>
        <w:t xml:space="preserve">&amp; </w:t>
      </w:r>
      <w:r w:rsidRPr="00E12CFD">
        <w:rPr>
          <w:rFonts w:cs="Times New Roman"/>
          <w:szCs w:val="24"/>
        </w:rPr>
        <w:t>Folkman</w:t>
      </w:r>
      <w:r w:rsidR="004730CB">
        <w:rPr>
          <w:rFonts w:cs="Times New Roman"/>
          <w:szCs w:val="24"/>
        </w:rPr>
        <w:t xml:space="preserve">, </w:t>
      </w:r>
      <w:r w:rsidRPr="00E12CFD">
        <w:rPr>
          <w:rFonts w:cs="Times New Roman"/>
          <w:szCs w:val="24"/>
        </w:rPr>
        <w:t xml:space="preserve">1984), as well as being an unpleasant emotional experience associated with elements of fear, dread, anxiety, irritation, annoyance, anger, sadness, grief, and depression </w:t>
      </w:r>
      <w:r>
        <w:rPr>
          <w:rFonts w:cs="Times New Roman"/>
          <w:noProof/>
          <w:szCs w:val="24"/>
        </w:rPr>
        <w:t>(Motowidlo et al., 1986)</w:t>
      </w:r>
      <w:r w:rsidRPr="00E12CFD">
        <w:rPr>
          <w:rFonts w:cs="Times New Roman"/>
          <w:szCs w:val="24"/>
        </w:rPr>
        <w:t xml:space="preserve">. Stress has also been conceptualized as a dependent variable, an independent variable, or </w:t>
      </w:r>
      <w:r>
        <w:rPr>
          <w:rFonts w:cs="Times New Roman"/>
          <w:szCs w:val="24"/>
        </w:rPr>
        <w:t xml:space="preserve">a </w:t>
      </w:r>
      <w:r w:rsidRPr="00E12CFD">
        <w:rPr>
          <w:rFonts w:cs="Times New Roman"/>
          <w:szCs w:val="24"/>
        </w:rPr>
        <w:t xml:space="preserve">transaction between an individual and his/her environment </w:t>
      </w:r>
      <w:r>
        <w:rPr>
          <w:rFonts w:cs="Times New Roman"/>
          <w:noProof/>
          <w:szCs w:val="24"/>
        </w:rPr>
        <w:t>(Cooper et al., 2001)</w:t>
      </w:r>
      <w:r w:rsidRPr="00E12CFD">
        <w:rPr>
          <w:rFonts w:cs="Times New Roman"/>
          <w:szCs w:val="24"/>
        </w:rPr>
        <w:t>.</w:t>
      </w:r>
    </w:p>
    <w:p w14:paraId="6CE09E4A" w14:textId="6919D150" w:rsidR="003E5B95" w:rsidRPr="00E12CFD" w:rsidRDefault="003E5B95" w:rsidP="003E5B95">
      <w:pPr>
        <w:rPr>
          <w:rFonts w:cs="Times New Roman"/>
          <w:szCs w:val="24"/>
        </w:rPr>
      </w:pPr>
      <w:r w:rsidRPr="00E12CFD">
        <w:rPr>
          <w:rFonts w:cs="Times New Roman"/>
          <w:szCs w:val="24"/>
        </w:rPr>
        <w:t xml:space="preserve">Stress has also gained the attention of information systems (IS) scholars, whose research indicates that the use of information technology (IT), adherence to InfoSec policies, and overall job characteristics, such as IS career experiences and work experiences at client sites, are significant sources of stress among information technology (systems) professionals </w:t>
      </w:r>
      <w:r>
        <w:rPr>
          <w:rFonts w:cs="Times New Roman"/>
          <w:noProof/>
          <w:szCs w:val="24"/>
        </w:rPr>
        <w:t xml:space="preserve">(Ahuja et al., </w:t>
      </w:r>
      <w:r>
        <w:rPr>
          <w:rFonts w:cs="Times New Roman"/>
          <w:noProof/>
          <w:szCs w:val="24"/>
        </w:rPr>
        <w:lastRenderedPageBreak/>
        <w:t>2007; Armstrong et al., 2018; Ayyagari et al., 2011; Chilton et al., 2005; D'Arcy et al., 2014; D'Arcy et al., 2018; Galluch et al., 2015; Pirkkalainen et al., 2017; Pirkkalainen et al., 2019; Ragu-Nathan et al., 2008; Tams et al., 2020; Tarafdar, Pullins, et al., 2015; Tarafdar et al., 2007; Tarafdar et al., 2010; Windeler et al., 2017)</w:t>
      </w:r>
      <w:r w:rsidRPr="00E12CFD">
        <w:rPr>
          <w:rFonts w:cs="Times New Roman"/>
          <w:szCs w:val="24"/>
        </w:rPr>
        <w:t xml:space="preserve">. However, there is a segment of the IS discipline that has not been given much attention by IS scholars, even though their experiences and struggles with stress are well documented outside the academic literature: cybersecurity profession </w:t>
      </w:r>
      <w:r>
        <w:rPr>
          <w:rFonts w:cs="Times New Roman"/>
          <w:noProof/>
          <w:szCs w:val="24"/>
        </w:rPr>
        <w:t>(Oltsik, 2019; Oltsik &amp; Alexander, 2018; Wolff, 2019)</w:t>
      </w:r>
      <w:r w:rsidRPr="00E12CFD">
        <w:rPr>
          <w:rFonts w:cs="Times New Roman"/>
          <w:szCs w:val="24"/>
        </w:rPr>
        <w:t xml:space="preserve">. </w:t>
      </w:r>
      <w:r w:rsidR="00EF507E">
        <w:rPr>
          <w:rFonts w:cs="Times New Roman"/>
          <w:szCs w:val="24"/>
        </w:rPr>
        <w:t xml:space="preserve">See Appendix A for a conceptualization of stress in the IS discipline. </w:t>
      </w:r>
    </w:p>
    <w:p w14:paraId="0025626A" w14:textId="77777777" w:rsidR="003E5B95" w:rsidRPr="00E12CFD" w:rsidRDefault="003E5B95" w:rsidP="003E5B95">
      <w:pPr>
        <w:rPr>
          <w:rFonts w:cs="Times New Roman"/>
          <w:szCs w:val="24"/>
        </w:rPr>
      </w:pPr>
      <w:r w:rsidRPr="00E12CFD">
        <w:rPr>
          <w:rFonts w:cs="Times New Roman"/>
          <w:szCs w:val="24"/>
        </w:rPr>
        <w:t xml:space="preserve">Stress and mental health are of utmost importance in the cybersecurity profession because cybersecurity professionals manage and respond to threats in a constantly changing adversarial environment </w:t>
      </w:r>
      <w:r>
        <w:rPr>
          <w:rFonts w:cs="Times New Roman"/>
          <w:noProof/>
          <w:szCs w:val="24"/>
        </w:rPr>
        <w:t>(Oltsik &amp; Alexander, 2018; Posey, Bennett, &amp; Roberts, 2011)</w:t>
      </w:r>
      <w:r w:rsidRPr="00E12CFD">
        <w:rPr>
          <w:rFonts w:cs="Times New Roman"/>
          <w:szCs w:val="24"/>
        </w:rPr>
        <w:t xml:space="preserve">, an environment akin to a war zone </w:t>
      </w:r>
      <w:r>
        <w:rPr>
          <w:rFonts w:cs="Times New Roman"/>
          <w:noProof/>
          <w:szCs w:val="24"/>
        </w:rPr>
        <w:t>(Brody, 2019; Harms et al., 2013)</w:t>
      </w:r>
      <w:r w:rsidRPr="00E12CFD">
        <w:rPr>
          <w:rFonts w:cs="Times New Roman"/>
          <w:szCs w:val="24"/>
        </w:rPr>
        <w:t xml:space="preserve">. There are several stressful aspects of cybersecurity careers because cybersecurity professionals are often the first responders to cyber events, such as breaches or alerts of suspicious activity within their firms, so they must maintain a level of vigilance that is often unmatched among other organizational employees, all while feeling underappreciated for their efforts </w:t>
      </w:r>
      <w:r>
        <w:rPr>
          <w:rFonts w:cs="Times New Roman"/>
          <w:noProof/>
          <w:szCs w:val="24"/>
        </w:rPr>
        <w:t>(Louie, 2018)</w:t>
      </w:r>
      <w:r w:rsidRPr="00E12CFD">
        <w:rPr>
          <w:rFonts w:cs="Times New Roman"/>
          <w:szCs w:val="24"/>
        </w:rPr>
        <w:t xml:space="preserve">. Further, cybersecurity professionals report that communication problems with management </w:t>
      </w:r>
      <w:r>
        <w:rPr>
          <w:rFonts w:cs="Times New Roman"/>
          <w:noProof/>
          <w:szCs w:val="24"/>
        </w:rPr>
        <w:t>(Louie, 2018)</w:t>
      </w:r>
      <w:r w:rsidRPr="00E12CFD">
        <w:rPr>
          <w:rFonts w:cs="Times New Roman"/>
          <w:szCs w:val="24"/>
        </w:rPr>
        <w:t xml:space="preserve">, high workload, challenges with the dynamic nature of technology, and organizational technology initiatives (e.g., moving applications to the cloud, deploying IoT, etc.), and a frequent lack of security oversight for new IS projects </w:t>
      </w:r>
      <w:r>
        <w:rPr>
          <w:rFonts w:cs="Times New Roman"/>
          <w:noProof/>
          <w:szCs w:val="24"/>
        </w:rPr>
        <w:t>(Oltsik, 2019)</w:t>
      </w:r>
      <w:r w:rsidRPr="00E12CFD">
        <w:rPr>
          <w:rFonts w:cs="Times New Roman"/>
          <w:szCs w:val="24"/>
        </w:rPr>
        <w:t xml:space="preserve"> all contribute to a high level of stress in these individuals’ professional existence. Under extreme stressful circumstances, cybersecurity professionals can have poor security-related decision quality, narrower attention, and poorer working memory </w:t>
      </w:r>
      <w:r>
        <w:rPr>
          <w:rFonts w:cs="Times New Roman"/>
          <w:noProof/>
          <w:szCs w:val="24"/>
        </w:rPr>
        <w:t xml:space="preserve">(Anderson et </w:t>
      </w:r>
      <w:r>
        <w:rPr>
          <w:rFonts w:cs="Times New Roman"/>
          <w:noProof/>
          <w:szCs w:val="24"/>
        </w:rPr>
        <w:lastRenderedPageBreak/>
        <w:t>al., 2016)</w:t>
      </w:r>
      <w:r w:rsidRPr="00E12CFD">
        <w:rPr>
          <w:rFonts w:cs="Times New Roman"/>
          <w:szCs w:val="24"/>
        </w:rPr>
        <w:t xml:space="preserve">. For these reasons, we believe stress in the cybersecurity profession is a phenomenon worthy of investigation. </w:t>
      </w:r>
    </w:p>
    <w:p w14:paraId="353D34C8" w14:textId="3ADAE28E" w:rsidR="003E5B95" w:rsidRPr="00E12CFD" w:rsidRDefault="003E5B95" w:rsidP="003E5B95">
      <w:pPr>
        <w:rPr>
          <w:rFonts w:cs="Times New Roman"/>
          <w:szCs w:val="24"/>
        </w:rPr>
      </w:pPr>
      <w:r w:rsidRPr="00E12CFD">
        <w:rPr>
          <w:rFonts w:cs="Times New Roman"/>
          <w:szCs w:val="24"/>
        </w:rPr>
        <w:t xml:space="preserve">To understand how to approach the study of stress in the cybersecurity profession, we first need to review how stress has been approached by IS scholars in their </w:t>
      </w:r>
      <w:r w:rsidR="00D072A7">
        <w:rPr>
          <w:rFonts w:cs="Times New Roman"/>
          <w:szCs w:val="24"/>
        </w:rPr>
        <w:t>research</w:t>
      </w:r>
      <w:r w:rsidRPr="00E12CFD">
        <w:rPr>
          <w:rFonts w:cs="Times New Roman"/>
          <w:szCs w:val="24"/>
        </w:rPr>
        <w:t xml:space="preserve"> of InfoSec phenomena. By doing this, we can begin to obtain a sense of the state of the art of knowledge concerning stress in the cybersecurity profession, finding gaps</w:t>
      </w:r>
      <w:r>
        <w:rPr>
          <w:rFonts w:cs="Times New Roman"/>
          <w:szCs w:val="24"/>
        </w:rPr>
        <w:t xml:space="preserve">, </w:t>
      </w:r>
      <w:r w:rsidRPr="00E12CFD">
        <w:rPr>
          <w:rFonts w:cs="Times New Roman"/>
          <w:szCs w:val="24"/>
        </w:rPr>
        <w:t xml:space="preserve">trends and making suggestions where future scholarship should be directed. This type of literature review is known as an assessing review, and in conducting this review, we follow the eight-step process suggested by </w:t>
      </w:r>
      <w:proofErr w:type="spellStart"/>
      <w:r w:rsidRPr="00E12CFD">
        <w:rPr>
          <w:rFonts w:cs="Times New Roman"/>
          <w:szCs w:val="24"/>
        </w:rPr>
        <w:t>Okoli</w:t>
      </w:r>
      <w:proofErr w:type="spellEnd"/>
      <w:r w:rsidRPr="00E12CFD">
        <w:rPr>
          <w:rFonts w:cs="Times New Roman"/>
          <w:szCs w:val="24"/>
        </w:rPr>
        <w:t xml:space="preserve"> and </w:t>
      </w:r>
      <w:proofErr w:type="spellStart"/>
      <w:r w:rsidRPr="00E12CFD">
        <w:rPr>
          <w:rFonts w:cs="Times New Roman"/>
          <w:szCs w:val="24"/>
        </w:rPr>
        <w:t>Schabram</w:t>
      </w:r>
      <w:proofErr w:type="spellEnd"/>
      <w:r w:rsidRPr="00E12CFD">
        <w:rPr>
          <w:rFonts w:cs="Times New Roman"/>
          <w:szCs w:val="24"/>
        </w:rPr>
        <w:t xml:space="preserve"> (2010). We also draw on the suggestions provided by publications engaged in literature reviews within the IS discipline </w:t>
      </w:r>
      <w:r>
        <w:rPr>
          <w:rFonts w:cs="Times New Roman"/>
          <w:noProof/>
          <w:szCs w:val="24"/>
        </w:rPr>
        <w:t>(Leidner, 2018; Paré et al., 2015; Webster &amp; Watson, 2002)</w:t>
      </w:r>
      <w:r w:rsidRPr="00E12CFD">
        <w:rPr>
          <w:rFonts w:cs="Times New Roman"/>
          <w:szCs w:val="24"/>
        </w:rPr>
        <w:t xml:space="preserve">. Ultimately, this review culminates in actionable directions for future research. In the sections that follow, we describe the review process and findings, our observations of the findings, and the associated future research opportunities. </w:t>
      </w:r>
    </w:p>
    <w:p w14:paraId="081E9FF2" w14:textId="77777777" w:rsidR="003E5B95" w:rsidRPr="003E5B95" w:rsidRDefault="003E5B95" w:rsidP="003E5B95">
      <w:pPr>
        <w:pStyle w:val="Heading1"/>
        <w:rPr>
          <w:b/>
          <w:bCs/>
        </w:rPr>
      </w:pPr>
      <w:bookmarkStart w:id="45" w:name="_Toc73602040"/>
      <w:bookmarkStart w:id="46" w:name="_Toc74045209"/>
      <w:bookmarkStart w:id="47" w:name="_Toc74087494"/>
      <w:bookmarkStart w:id="48" w:name="_Toc74258610"/>
      <w:r w:rsidRPr="003E5B95">
        <w:rPr>
          <w:b/>
          <w:bCs/>
        </w:rPr>
        <w:t>REVIEW PROCESS</w:t>
      </w:r>
      <w:bookmarkEnd w:id="45"/>
      <w:bookmarkEnd w:id="46"/>
      <w:bookmarkEnd w:id="47"/>
      <w:bookmarkEnd w:id="48"/>
    </w:p>
    <w:p w14:paraId="19EACD20" w14:textId="77777777" w:rsidR="003E5B95" w:rsidRPr="00E12CFD" w:rsidRDefault="003E5B95" w:rsidP="003E5B95">
      <w:pPr>
        <w:rPr>
          <w:rFonts w:cs="Times New Roman"/>
          <w:szCs w:val="24"/>
        </w:rPr>
      </w:pPr>
      <w:r w:rsidRPr="00E12CFD">
        <w:rPr>
          <w:rFonts w:cs="Times New Roman"/>
          <w:szCs w:val="24"/>
        </w:rPr>
        <w:t xml:space="preserve">The literature review process we follow—as outlined by </w:t>
      </w:r>
      <w:proofErr w:type="spellStart"/>
      <w:r w:rsidRPr="00E12CFD">
        <w:rPr>
          <w:rFonts w:cs="Times New Roman"/>
          <w:szCs w:val="24"/>
        </w:rPr>
        <w:t>Okoli</w:t>
      </w:r>
      <w:proofErr w:type="spellEnd"/>
      <w:r w:rsidRPr="00E12CFD">
        <w:rPr>
          <w:rFonts w:cs="Times New Roman"/>
          <w:szCs w:val="24"/>
        </w:rPr>
        <w:t xml:space="preserve"> and </w:t>
      </w:r>
      <w:proofErr w:type="spellStart"/>
      <w:r w:rsidRPr="00E12CFD">
        <w:rPr>
          <w:rFonts w:cs="Times New Roman"/>
          <w:szCs w:val="24"/>
        </w:rPr>
        <w:t>Schabram</w:t>
      </w:r>
      <w:proofErr w:type="spellEnd"/>
      <w:r w:rsidRPr="00E12CFD">
        <w:rPr>
          <w:rFonts w:cs="Times New Roman"/>
          <w:szCs w:val="24"/>
        </w:rPr>
        <w:t xml:space="preserve"> (2010)—is systemic and scientifically rigorous (Figure 1). This process has been divided into the four stages of 1) planning, 2) selection, 3) extraction, and 4) execution. Several steps span these four stages and include identifying the purpose of the literature review, protocol, and training (planning stage), searching the literature, applying a practical screen, appraising the quality (selection stage), extracting the data (extraction stage), analyzing the findings, and writing the review (execution stage). Although limited by an inflexibility to conduct other kinds of reviews, this review process provides a structure and framework for conducting an assessing review </w:t>
      </w:r>
      <w:r>
        <w:rPr>
          <w:rFonts w:cs="Times New Roman"/>
          <w:noProof/>
          <w:szCs w:val="24"/>
        </w:rPr>
        <w:t>(Leidner, 2018)</w:t>
      </w:r>
      <w:r w:rsidRPr="00E12CFD">
        <w:rPr>
          <w:rFonts w:cs="Times New Roman"/>
          <w:szCs w:val="24"/>
        </w:rPr>
        <w:t xml:space="preserve">. </w:t>
      </w:r>
    </w:p>
    <w:p w14:paraId="5FCBFFAB" w14:textId="77777777" w:rsidR="003E5B95" w:rsidRPr="00C56ECF" w:rsidRDefault="003E5B95" w:rsidP="003E5B95">
      <w:pPr>
        <w:pStyle w:val="Caption"/>
        <w:keepNext/>
        <w:spacing w:line="480" w:lineRule="auto"/>
        <w:rPr>
          <w:sz w:val="24"/>
          <w:szCs w:val="24"/>
        </w:rPr>
      </w:pPr>
      <w:bookmarkStart w:id="49" w:name="_Toc73955277"/>
      <w:r w:rsidRPr="00C56ECF">
        <w:rPr>
          <w:sz w:val="24"/>
          <w:szCs w:val="24"/>
        </w:rPr>
        <w:lastRenderedPageBreak/>
        <w:t xml:space="preserve">Figure </w:t>
      </w:r>
      <w:r w:rsidRPr="00C56ECF">
        <w:rPr>
          <w:sz w:val="24"/>
          <w:szCs w:val="24"/>
        </w:rPr>
        <w:fldChar w:fldCharType="begin"/>
      </w:r>
      <w:r w:rsidRPr="00C56ECF">
        <w:rPr>
          <w:sz w:val="24"/>
          <w:szCs w:val="24"/>
        </w:rPr>
        <w:instrText xml:space="preserve"> SEQ Figure \* ARABIC </w:instrText>
      </w:r>
      <w:r w:rsidRPr="00C56ECF">
        <w:rPr>
          <w:sz w:val="24"/>
          <w:szCs w:val="24"/>
        </w:rPr>
        <w:fldChar w:fldCharType="separate"/>
      </w:r>
      <w:r w:rsidRPr="00C56ECF">
        <w:rPr>
          <w:noProof/>
          <w:sz w:val="24"/>
          <w:szCs w:val="24"/>
        </w:rPr>
        <w:t>1</w:t>
      </w:r>
      <w:r w:rsidRPr="00C56ECF">
        <w:rPr>
          <w:sz w:val="24"/>
          <w:szCs w:val="24"/>
        </w:rPr>
        <w:fldChar w:fldCharType="end"/>
      </w:r>
      <w:r w:rsidRPr="00C56ECF">
        <w:rPr>
          <w:sz w:val="24"/>
          <w:szCs w:val="24"/>
        </w:rPr>
        <w:t xml:space="preserve"> </w:t>
      </w:r>
    </w:p>
    <w:p w14:paraId="301C220E" w14:textId="77777777" w:rsidR="003E5B95" w:rsidRPr="00C56ECF" w:rsidRDefault="003E5B95" w:rsidP="003E5B95">
      <w:pPr>
        <w:pStyle w:val="Caption"/>
        <w:keepNext/>
        <w:spacing w:line="480" w:lineRule="auto"/>
        <w:rPr>
          <w:b w:val="0"/>
          <w:bCs/>
          <w:i/>
          <w:iCs w:val="0"/>
          <w:sz w:val="24"/>
          <w:szCs w:val="24"/>
        </w:rPr>
      </w:pPr>
      <w:r w:rsidRPr="00C56ECF">
        <w:rPr>
          <w:b w:val="0"/>
          <w:bCs/>
          <w:i/>
          <w:iCs w:val="0"/>
          <w:sz w:val="24"/>
          <w:szCs w:val="24"/>
        </w:rPr>
        <w:t xml:space="preserve">Literature Review Process Adapted from </w:t>
      </w:r>
      <w:r w:rsidRPr="00C56ECF">
        <w:rPr>
          <w:rFonts w:cs="Times New Roman"/>
          <w:b w:val="0"/>
          <w:bCs/>
          <w:i/>
          <w:iCs w:val="0"/>
          <w:noProof/>
          <w:sz w:val="24"/>
          <w:szCs w:val="24"/>
        </w:rPr>
        <w:t>Okoli and Schabram (2010)</w:t>
      </w:r>
      <w:bookmarkEnd w:id="49"/>
    </w:p>
    <w:p w14:paraId="4253523F" w14:textId="77777777" w:rsidR="003E5B95" w:rsidRDefault="003E5B95" w:rsidP="003E5B95">
      <w:pPr>
        <w:spacing w:line="240" w:lineRule="auto"/>
        <w:ind w:firstLine="0"/>
        <w:jc w:val="center"/>
        <w:rPr>
          <w:rFonts w:cs="Times New Roman"/>
          <w:b/>
          <w:bCs/>
          <w:szCs w:val="24"/>
        </w:rPr>
      </w:pPr>
      <w:r w:rsidRPr="00E12CFD">
        <w:rPr>
          <w:rFonts w:cs="Times New Roman"/>
          <w:noProof/>
          <w:szCs w:val="24"/>
          <w:lang w:eastAsia="en-US"/>
        </w:rPr>
        <w:drawing>
          <wp:inline distT="0" distB="0" distL="0" distR="0" wp14:anchorId="53BBDADD" wp14:editId="68C8416D">
            <wp:extent cx="6014085" cy="1017270"/>
            <wp:effectExtent l="0" t="0" r="571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3">
                      <a:extLst>
                        <a:ext uri="{28A0092B-C50C-407E-A947-70E740481C1C}">
                          <a14:useLocalDpi xmlns:a14="http://schemas.microsoft.com/office/drawing/2010/main" val="0"/>
                        </a:ext>
                      </a:extLst>
                    </a:blip>
                    <a:srcRect l="1153" t="12308" r="3205" b="62166"/>
                    <a:stretch/>
                  </pic:blipFill>
                  <pic:spPr bwMode="auto">
                    <a:xfrm>
                      <a:off x="0" y="0"/>
                      <a:ext cx="6018478" cy="1018013"/>
                    </a:xfrm>
                    <a:prstGeom prst="rect">
                      <a:avLst/>
                    </a:prstGeom>
                    <a:ln w="12700">
                      <a:noFill/>
                    </a:ln>
                    <a:extLst>
                      <a:ext uri="{53640926-AAD7-44D8-BBD7-CCE9431645EC}">
                        <a14:shadowObscured xmlns:a14="http://schemas.microsoft.com/office/drawing/2010/main"/>
                      </a:ext>
                    </a:extLst>
                  </pic:spPr>
                </pic:pic>
              </a:graphicData>
            </a:graphic>
          </wp:inline>
        </w:drawing>
      </w:r>
      <w:r w:rsidRPr="00E12CFD">
        <w:rPr>
          <w:rFonts w:cs="Times New Roman"/>
          <w:b/>
          <w:bCs/>
          <w:szCs w:val="24"/>
        </w:rPr>
        <w:t xml:space="preserve"> </w:t>
      </w:r>
    </w:p>
    <w:p w14:paraId="11870897" w14:textId="77777777" w:rsidR="003E5B95" w:rsidRPr="00E12CFD" w:rsidRDefault="003E5B95" w:rsidP="003E5B95">
      <w:pPr>
        <w:spacing w:line="240" w:lineRule="auto"/>
        <w:ind w:firstLine="0"/>
        <w:rPr>
          <w:rFonts w:cs="Times New Roman"/>
          <w:b/>
          <w:bCs/>
          <w:szCs w:val="24"/>
        </w:rPr>
      </w:pPr>
    </w:p>
    <w:p w14:paraId="04614A32" w14:textId="77777777" w:rsidR="003E5B95" w:rsidRPr="00E12CFD" w:rsidRDefault="003E5B95" w:rsidP="003E5B95">
      <w:pPr>
        <w:pStyle w:val="Heading2"/>
      </w:pPr>
      <w:bookmarkStart w:id="50" w:name="_Toc73602041"/>
      <w:bookmarkStart w:id="51" w:name="_Toc74045210"/>
      <w:bookmarkStart w:id="52" w:name="_Toc74087495"/>
      <w:bookmarkStart w:id="53" w:name="_Toc74258611"/>
      <w:r w:rsidRPr="00E12CFD">
        <w:t>Planning Stage</w:t>
      </w:r>
      <w:bookmarkEnd w:id="50"/>
      <w:bookmarkEnd w:id="51"/>
      <w:bookmarkEnd w:id="52"/>
      <w:bookmarkEnd w:id="53"/>
    </w:p>
    <w:p w14:paraId="236822A1" w14:textId="77777777" w:rsidR="003E5B95" w:rsidRPr="00E12CFD" w:rsidRDefault="003E5B95" w:rsidP="003E5B95">
      <w:pPr>
        <w:keepNext/>
        <w:rPr>
          <w:rFonts w:cs="Times New Roman"/>
          <w:szCs w:val="24"/>
        </w:rPr>
      </w:pPr>
      <w:r w:rsidRPr="00E12CFD">
        <w:rPr>
          <w:rFonts w:cs="Times New Roman"/>
          <w:szCs w:val="24"/>
        </w:rPr>
        <w:t xml:space="preserve">The first stage of </w:t>
      </w:r>
      <w:proofErr w:type="spellStart"/>
      <w:r w:rsidRPr="00E12CFD">
        <w:rPr>
          <w:rFonts w:cs="Times New Roman"/>
          <w:szCs w:val="24"/>
        </w:rPr>
        <w:t>Okoli</w:t>
      </w:r>
      <w:proofErr w:type="spellEnd"/>
      <w:r w:rsidRPr="00E12CFD">
        <w:rPr>
          <w:rFonts w:cs="Times New Roman"/>
          <w:szCs w:val="24"/>
        </w:rPr>
        <w:t xml:space="preserve"> and </w:t>
      </w:r>
      <w:proofErr w:type="spellStart"/>
      <w:r w:rsidRPr="00E12CFD">
        <w:rPr>
          <w:rFonts w:cs="Times New Roman"/>
          <w:szCs w:val="24"/>
        </w:rPr>
        <w:t>Schabram’s</w:t>
      </w:r>
      <w:proofErr w:type="spellEnd"/>
      <w:r w:rsidRPr="00E12CFD">
        <w:rPr>
          <w:rFonts w:cs="Times New Roman"/>
          <w:szCs w:val="24"/>
        </w:rPr>
        <w:t xml:space="preserve"> (2010) literature review process is the planning stage, which describes a progression in which the purpose of the review, its protocol, and the process for training the person or persons involved in the review are described. In the current research, the purpose of our literature review is to provide a synthesis of stress research trends and/or gaps in the InfoSec literature, which is also known as an assessing review. </w:t>
      </w:r>
    </w:p>
    <w:p w14:paraId="6D053262" w14:textId="77777777" w:rsidR="003E5B95" w:rsidRPr="00E12CFD" w:rsidRDefault="003E5B95" w:rsidP="003E5B95">
      <w:pPr>
        <w:pStyle w:val="Heading2"/>
      </w:pPr>
      <w:bookmarkStart w:id="54" w:name="_Toc73602042"/>
      <w:bookmarkStart w:id="55" w:name="_Toc74045211"/>
      <w:bookmarkStart w:id="56" w:name="_Toc74087496"/>
      <w:bookmarkStart w:id="57" w:name="_Toc74258612"/>
      <w:r w:rsidRPr="00E12CFD">
        <w:t>Selection Stage</w:t>
      </w:r>
      <w:bookmarkEnd w:id="54"/>
      <w:bookmarkEnd w:id="55"/>
      <w:bookmarkEnd w:id="56"/>
      <w:bookmarkEnd w:id="57"/>
      <w:r w:rsidRPr="00E12CFD">
        <w:t xml:space="preserve"> </w:t>
      </w:r>
    </w:p>
    <w:p w14:paraId="7B6AC6C5" w14:textId="1D25CDED" w:rsidR="003E5B95" w:rsidRPr="00E12CFD" w:rsidRDefault="003E5B95" w:rsidP="003E5B95">
      <w:pPr>
        <w:rPr>
          <w:rFonts w:cs="Times New Roman"/>
          <w:szCs w:val="24"/>
        </w:rPr>
      </w:pPr>
      <w:r w:rsidRPr="00E12CFD">
        <w:rPr>
          <w:rFonts w:cs="Times New Roman"/>
          <w:szCs w:val="24"/>
        </w:rPr>
        <w:t xml:space="preserve">The next stage in </w:t>
      </w:r>
      <w:proofErr w:type="spellStart"/>
      <w:r w:rsidRPr="00E12CFD">
        <w:rPr>
          <w:rFonts w:cs="Times New Roman"/>
          <w:szCs w:val="24"/>
        </w:rPr>
        <w:t>Okoli</w:t>
      </w:r>
      <w:proofErr w:type="spellEnd"/>
      <w:r w:rsidRPr="00E12CFD">
        <w:rPr>
          <w:rFonts w:cs="Times New Roman"/>
          <w:szCs w:val="24"/>
        </w:rPr>
        <w:t xml:space="preserve"> and </w:t>
      </w:r>
      <w:proofErr w:type="spellStart"/>
      <w:r w:rsidRPr="00E12CFD">
        <w:rPr>
          <w:rFonts w:cs="Times New Roman"/>
          <w:szCs w:val="24"/>
        </w:rPr>
        <w:t>Schabram’s</w:t>
      </w:r>
      <w:proofErr w:type="spellEnd"/>
      <w:r w:rsidRPr="00E12CFD">
        <w:rPr>
          <w:rFonts w:cs="Times New Roman"/>
          <w:szCs w:val="24"/>
        </w:rPr>
        <w:t xml:space="preserve"> (2010) literature review process is the selection stage. The selection stage describes the literature search and screening of the literature through inclusion and exclusion criteria. In this stage, we created a comprehensive literature corpus by not only including the articles from leading IS journals</w:t>
      </w:r>
      <w:r w:rsidR="00D072A7">
        <w:rPr>
          <w:rFonts w:cs="Times New Roman"/>
          <w:szCs w:val="24"/>
        </w:rPr>
        <w:t xml:space="preserve"> </w:t>
      </w:r>
      <w:r w:rsidRPr="00E12CFD">
        <w:rPr>
          <w:rFonts w:cs="Times New Roman"/>
          <w:szCs w:val="24"/>
        </w:rPr>
        <w:t xml:space="preserve">but also other domains of study where the relevant research may appear, such as computer science and management </w:t>
      </w:r>
      <w:r>
        <w:rPr>
          <w:rFonts w:cs="Times New Roman"/>
          <w:noProof/>
          <w:szCs w:val="24"/>
        </w:rPr>
        <w:t>(Vom Brocke et al., 2015)</w:t>
      </w:r>
      <w:r w:rsidRPr="00E12CFD">
        <w:rPr>
          <w:rFonts w:cs="Times New Roman"/>
          <w:szCs w:val="24"/>
        </w:rPr>
        <w:t xml:space="preserve">. </w:t>
      </w:r>
    </w:p>
    <w:p w14:paraId="4A58666E" w14:textId="02C4DC82" w:rsidR="003E5B95" w:rsidRPr="00E12CFD" w:rsidRDefault="003E5B95" w:rsidP="003E5B95">
      <w:pPr>
        <w:rPr>
          <w:rFonts w:cs="Times New Roman"/>
          <w:szCs w:val="24"/>
        </w:rPr>
      </w:pPr>
      <w:r w:rsidRPr="00E12CFD">
        <w:rPr>
          <w:rFonts w:cs="Times New Roman"/>
          <w:szCs w:val="24"/>
        </w:rPr>
        <w:t>Our search encompassed 30-year from 1990–2020. The query was run in January 2020 and utilized a sequential search of the stress literature</w:t>
      </w:r>
      <w:r w:rsidR="00D072A7">
        <w:rPr>
          <w:rFonts w:cs="Times New Roman"/>
          <w:szCs w:val="24"/>
        </w:rPr>
        <w:t>. T</w:t>
      </w:r>
      <w:r w:rsidRPr="00E12CFD">
        <w:rPr>
          <w:rFonts w:cs="Times New Roman"/>
          <w:szCs w:val="24"/>
        </w:rPr>
        <w:t xml:space="preserve">he initial corpus of the articles was created using relevant keywords based on the range of possible terms and a variety of database coverage </w:t>
      </w:r>
      <w:r>
        <w:rPr>
          <w:rFonts w:cs="Times New Roman"/>
          <w:noProof/>
          <w:szCs w:val="24"/>
        </w:rPr>
        <w:t>(Tarafdar et al., 2017)</w:t>
      </w:r>
      <w:r w:rsidRPr="00E12CFD">
        <w:rPr>
          <w:rFonts w:cs="Times New Roman"/>
          <w:szCs w:val="24"/>
        </w:rPr>
        <w:t xml:space="preserve">. We referred to prior research on stress (such as work-related stress, technostress, and security-related stress) to guide the selection of key terms </w:t>
      </w:r>
      <w:r>
        <w:rPr>
          <w:rFonts w:cs="Times New Roman"/>
          <w:noProof/>
          <w:szCs w:val="24"/>
        </w:rPr>
        <w:t xml:space="preserve">(D'Arcy et al., 2014; </w:t>
      </w:r>
      <w:r>
        <w:rPr>
          <w:rFonts w:cs="Times New Roman"/>
          <w:noProof/>
          <w:szCs w:val="24"/>
        </w:rPr>
        <w:lastRenderedPageBreak/>
        <w:t>Fischer &amp; Riedl, 2017; Li &amp; Shani, 1991; Moore, 2000; Tarafdar et al., 2017)</w:t>
      </w:r>
      <w:r w:rsidRPr="00E12CFD">
        <w:rPr>
          <w:rFonts w:cs="Times New Roman"/>
          <w:szCs w:val="24"/>
        </w:rPr>
        <w:t xml:space="preserve">, but because every discipline has a unique lexicon for stress and to keep our search broad (at least initially), we used terms such as “stress” OR “strain” OR “work exhaustion” OR “burnout” OR “coping” OR “appraisal” OR “Technostress” appearing within the abstract, keywords, and title. Although not all the studies directly involved cybersecurity professionals, we believe they are appropriate supporting studies for the present research because they were conducted in contexts in which rules, regulations, policies, and procedures were present and contributed to stress experiences similar to those experienced by cybersecurity professionals. </w:t>
      </w:r>
    </w:p>
    <w:p w14:paraId="3C5E7555" w14:textId="77777777" w:rsidR="003E5B95" w:rsidRPr="00E12CFD" w:rsidRDefault="003E5B95" w:rsidP="003E5B95">
      <w:pPr>
        <w:rPr>
          <w:rFonts w:cs="Times New Roman"/>
          <w:szCs w:val="24"/>
        </w:rPr>
      </w:pPr>
      <w:r w:rsidRPr="00E12CFD">
        <w:rPr>
          <w:rFonts w:cs="Times New Roman"/>
          <w:szCs w:val="24"/>
        </w:rPr>
        <w:t>We used the EBSCO host to search the Academic Search Complete and Business Source Premier databases. Using the initial set of broad terms allowed us to find articles that are not only related to technology—and hence technostress only—but also studies related to stressful experiences in technical careers, work-related stress, stress experiences from IT implementation, compliance with IT security technology, compliance with InfoSec policies, burnout, and work exhaustion. The use of the initial set of broad search terms also allowed us to find articles related to stress in the InfoSec context as well. Also, the articles related to stress (physical, psychological, and physiological), technostress, strain, work exhaustion, and burnout experienced by working professionals from information technology/systems and stress experienced because of job environment characteristics are included. The articles failing to mention the terms stress, strain, burnout, or exhaustion but that are related to stress coping and appraisal (such as the appraisal of IT innovation and coping with the information technology) in the workplace were also included.</w:t>
      </w:r>
    </w:p>
    <w:p w14:paraId="0EC822E3" w14:textId="67B3AB9A" w:rsidR="003E5B95" w:rsidRPr="00E12CFD" w:rsidRDefault="003E5B95" w:rsidP="003E5B95">
      <w:pPr>
        <w:rPr>
          <w:rFonts w:cs="Times New Roman"/>
          <w:szCs w:val="24"/>
        </w:rPr>
      </w:pPr>
      <w:r w:rsidRPr="00E12CFD">
        <w:rPr>
          <w:rFonts w:cs="Times New Roman"/>
          <w:szCs w:val="24"/>
        </w:rPr>
        <w:t xml:space="preserve">Next, </w:t>
      </w:r>
      <w:r w:rsidR="00D072A7">
        <w:rPr>
          <w:rFonts w:cs="Times New Roman"/>
          <w:szCs w:val="24"/>
        </w:rPr>
        <w:t>we performed a forward search to</w:t>
      </w:r>
      <w:r w:rsidRPr="00E12CFD">
        <w:rPr>
          <w:rFonts w:cs="Times New Roman"/>
          <w:szCs w:val="24"/>
        </w:rPr>
        <w:t xml:space="preserve"> include articles that have been cited by the articles identified in the initial search </w:t>
      </w:r>
      <w:r>
        <w:rPr>
          <w:rFonts w:cs="Times New Roman"/>
          <w:noProof/>
          <w:szCs w:val="24"/>
        </w:rPr>
        <w:t>(Vom Brocke et al., 2015; Webster &amp; Watson, 2002)</w:t>
      </w:r>
      <w:r w:rsidRPr="00E12CFD">
        <w:rPr>
          <w:rFonts w:cs="Times New Roman"/>
          <w:szCs w:val="24"/>
        </w:rPr>
        <w:t xml:space="preserve">. The </w:t>
      </w:r>
      <w:r w:rsidRPr="00E12CFD">
        <w:rPr>
          <w:rFonts w:cs="Times New Roman"/>
          <w:i/>
          <w:szCs w:val="24"/>
        </w:rPr>
        <w:t xml:space="preserve">Journal </w:t>
      </w:r>
      <w:r w:rsidRPr="00E12CFD">
        <w:rPr>
          <w:rFonts w:cs="Times New Roman"/>
          <w:i/>
          <w:szCs w:val="24"/>
        </w:rPr>
        <w:lastRenderedPageBreak/>
        <w:t>of AIS Transactions on Replication Research</w:t>
      </w:r>
      <w:r w:rsidRPr="00E12CFD">
        <w:rPr>
          <w:rFonts w:cs="Times New Roman"/>
          <w:szCs w:val="24"/>
        </w:rPr>
        <w:t xml:space="preserve"> was added through this forward search. Similarly, a backward search was performed to identify any articles that have been cited by the selected articles (Webster and Watson 2002). Because stress is a relatively new</w:t>
      </w:r>
      <w:r w:rsidR="00D072A7">
        <w:rPr>
          <w:rFonts w:cs="Times New Roman"/>
          <w:szCs w:val="24"/>
        </w:rPr>
        <w:t xml:space="preserve"> </w:t>
      </w:r>
      <w:r w:rsidRPr="00E12CFD">
        <w:rPr>
          <w:rFonts w:cs="Times New Roman"/>
          <w:szCs w:val="24"/>
        </w:rPr>
        <w:t>study</w:t>
      </w:r>
      <w:r w:rsidR="00D072A7">
        <w:rPr>
          <w:rFonts w:cs="Times New Roman"/>
          <w:szCs w:val="24"/>
        </w:rPr>
        <w:t xml:space="preserve"> area</w:t>
      </w:r>
      <w:r w:rsidRPr="00E12CFD">
        <w:rPr>
          <w:rFonts w:cs="Times New Roman"/>
          <w:szCs w:val="24"/>
        </w:rPr>
        <w:t xml:space="preserve"> for InfoSec scholars, we included articles published in the major IS conferences’ proceedings. Including forward and backward searches, our initial corpus of literature comprises 330 articles from 21 journals and four conference proceedings.</w:t>
      </w:r>
      <w:r w:rsidRPr="00E12CFD" w:rsidDel="00B81F87">
        <w:rPr>
          <w:rFonts w:cs="Times New Roman"/>
          <w:szCs w:val="24"/>
        </w:rPr>
        <w:t xml:space="preserve"> </w:t>
      </w:r>
    </w:p>
    <w:p w14:paraId="2EEF0C3F" w14:textId="77777777" w:rsidR="003E5B95" w:rsidRPr="00E12CFD" w:rsidRDefault="003E5B95" w:rsidP="003E5B95">
      <w:pPr>
        <w:pStyle w:val="Heading2"/>
      </w:pPr>
      <w:bookmarkStart w:id="58" w:name="_Toc73602043"/>
      <w:bookmarkStart w:id="59" w:name="_Toc74045212"/>
      <w:bookmarkStart w:id="60" w:name="_Toc74087497"/>
      <w:bookmarkStart w:id="61" w:name="_Toc74258613"/>
      <w:r w:rsidRPr="00E12CFD">
        <w:t>Extraction Stage</w:t>
      </w:r>
      <w:bookmarkEnd w:id="58"/>
      <w:bookmarkEnd w:id="59"/>
      <w:bookmarkEnd w:id="60"/>
      <w:bookmarkEnd w:id="61"/>
      <w:r w:rsidRPr="00E12CFD">
        <w:t xml:space="preserve"> </w:t>
      </w:r>
    </w:p>
    <w:p w14:paraId="23B5A60E" w14:textId="77777777" w:rsidR="003E5B95" w:rsidRPr="00E12CFD" w:rsidRDefault="003E5B95" w:rsidP="003E5B95">
      <w:pPr>
        <w:rPr>
          <w:rFonts w:cs="Times New Roman"/>
          <w:szCs w:val="24"/>
        </w:rPr>
      </w:pPr>
      <w:r w:rsidRPr="00E12CFD">
        <w:rPr>
          <w:rFonts w:cs="Times New Roman"/>
          <w:szCs w:val="24"/>
        </w:rPr>
        <w:t xml:space="preserve">The next stage in </w:t>
      </w:r>
      <w:proofErr w:type="spellStart"/>
      <w:r w:rsidRPr="00E12CFD">
        <w:rPr>
          <w:rFonts w:cs="Times New Roman"/>
          <w:szCs w:val="24"/>
        </w:rPr>
        <w:t>Okoli</w:t>
      </w:r>
      <w:proofErr w:type="spellEnd"/>
      <w:r w:rsidRPr="00E12CFD">
        <w:rPr>
          <w:rFonts w:cs="Times New Roman"/>
          <w:szCs w:val="24"/>
        </w:rPr>
        <w:t xml:space="preserve"> and </w:t>
      </w:r>
      <w:proofErr w:type="spellStart"/>
      <w:r w:rsidRPr="00E12CFD">
        <w:rPr>
          <w:rFonts w:cs="Times New Roman"/>
          <w:szCs w:val="24"/>
        </w:rPr>
        <w:t>Schabram’s</w:t>
      </w:r>
      <w:proofErr w:type="spellEnd"/>
      <w:r w:rsidRPr="00E12CFD">
        <w:rPr>
          <w:rFonts w:cs="Times New Roman"/>
          <w:szCs w:val="24"/>
        </w:rPr>
        <w:t xml:space="preserve"> (2010) literature review process is the extraction stage, which involves screening the extracted material for its quality through a set of exclusion criteria and a subsequent systematic extraction of information from each article. Stressful experiences in one’s life may encompass both the personal and professional domains; however, we limited our inclusion of articles by focusing on the stress experiences from one’s professional careers to explore how workplace experiences are associated with stress among cybersecurity professionals. For example, we excluded articles related to personal space, social media contexts, and online shopping. The articles not related to stressful experiences associated with technology, work-related stress, work exhaustion, or burnout were also excluded. For example, articles that mention coping and appraisal regarding the use of technology but in online shopping, cyberbullying (in a personal or professional environment), personal use of IT/IS (such as discontinuance behavior in the context of social networking sites), personal use of social media (such as Facebook), as a coping mechanism to overcome loneliness, and technology addiction because of social media use were excluded. Articles without a measure of stress/strain, burnout, work exhaustion, coping strategies, or stress appraisal were also excluded. </w:t>
      </w:r>
    </w:p>
    <w:p w14:paraId="0AB02069" w14:textId="77777777" w:rsidR="003E5B95" w:rsidRPr="00E12CFD" w:rsidRDefault="003E5B95" w:rsidP="003E5B95">
      <w:pPr>
        <w:rPr>
          <w:rFonts w:cs="Times New Roman"/>
          <w:szCs w:val="24"/>
        </w:rPr>
      </w:pPr>
      <w:r w:rsidRPr="00E12CFD">
        <w:rPr>
          <w:rFonts w:cs="Times New Roman"/>
          <w:szCs w:val="24"/>
        </w:rPr>
        <w:lastRenderedPageBreak/>
        <w:t>See Appendix B for a detailed list of the exclusion criteria and excluded articles. After applying the exclusion criteria, 77 articles and two conference papers were retained. The findings of the execution of the review of these articles are presented next.</w:t>
      </w:r>
    </w:p>
    <w:p w14:paraId="21D80DE6" w14:textId="77777777" w:rsidR="003E5B95" w:rsidRPr="003E5B95" w:rsidRDefault="003E5B95" w:rsidP="003E5B95">
      <w:pPr>
        <w:pStyle w:val="Heading1"/>
        <w:rPr>
          <w:b/>
          <w:bCs/>
        </w:rPr>
      </w:pPr>
      <w:bookmarkStart w:id="62" w:name="_Toc73602044"/>
      <w:bookmarkStart w:id="63" w:name="_Toc74045213"/>
      <w:bookmarkStart w:id="64" w:name="_Toc74087498"/>
      <w:bookmarkStart w:id="65" w:name="_Toc74258614"/>
      <w:r w:rsidRPr="003E5B95">
        <w:rPr>
          <w:b/>
          <w:bCs/>
        </w:rPr>
        <w:t>REVIEW FINDINGS</w:t>
      </w:r>
      <w:bookmarkEnd w:id="62"/>
      <w:bookmarkEnd w:id="63"/>
      <w:bookmarkEnd w:id="64"/>
      <w:bookmarkEnd w:id="65"/>
    </w:p>
    <w:p w14:paraId="7899FB68" w14:textId="2DC90BEC" w:rsidR="003E5B95" w:rsidRPr="00E12CFD" w:rsidRDefault="003E5B95" w:rsidP="003E5B95">
      <w:pPr>
        <w:pStyle w:val="ListParagraph"/>
        <w:spacing w:line="480" w:lineRule="auto"/>
        <w:ind w:left="0" w:firstLine="360"/>
        <w:rPr>
          <w:rFonts w:ascii="Times New Roman" w:hAnsi="Times New Roman" w:cs="Times New Roman"/>
          <w:sz w:val="24"/>
          <w:szCs w:val="24"/>
        </w:rPr>
      </w:pPr>
      <w:r w:rsidRPr="00E12CFD">
        <w:rPr>
          <w:rFonts w:ascii="Times New Roman" w:hAnsi="Times New Roman" w:cs="Times New Roman"/>
          <w:sz w:val="24"/>
          <w:szCs w:val="24"/>
        </w:rPr>
        <w:t xml:space="preserve">To present the findings of the review on the literature associated with stress in the cybersecurity profession, we looked at McGrath’s stress process </w:t>
      </w:r>
      <w:r>
        <w:rPr>
          <w:rFonts w:ascii="Times New Roman" w:hAnsi="Times New Roman" w:cs="Times New Roman"/>
          <w:noProof/>
          <w:sz w:val="24"/>
          <w:szCs w:val="24"/>
        </w:rPr>
        <w:t>(McGrath, 1970, 1976)</w:t>
      </w:r>
      <w:r w:rsidRPr="00E12CFD">
        <w:rPr>
          <w:rFonts w:ascii="Times New Roman" w:hAnsi="Times New Roman" w:cs="Times New Roman"/>
          <w:sz w:val="24"/>
          <w:szCs w:val="24"/>
        </w:rPr>
        <w:t xml:space="preserve">. McGrath’s stress process (Figure 2) is well recognized in seminal texts </w:t>
      </w:r>
      <w:r>
        <w:rPr>
          <w:rFonts w:ascii="Times New Roman" w:hAnsi="Times New Roman" w:cs="Times New Roman"/>
          <w:noProof/>
          <w:sz w:val="24"/>
          <w:szCs w:val="24"/>
        </w:rPr>
        <w:t>(Cooper et al., 2001; Folkman &amp; Lazarus, 1985; Kahn &amp; Byosiere, 1992; Lazarus &amp; Folkman, 1984; Lazarus &amp; Folkman, 1987)</w:t>
      </w:r>
      <w:r w:rsidRPr="00E12CFD">
        <w:rPr>
          <w:rFonts w:ascii="Times New Roman" w:hAnsi="Times New Roman" w:cs="Times New Roman"/>
          <w:sz w:val="24"/>
          <w:szCs w:val="24"/>
        </w:rPr>
        <w:t xml:space="preserve"> and articulates a process in which 1)</w:t>
      </w:r>
      <w:r w:rsidR="00D072A7">
        <w:rPr>
          <w:rFonts w:ascii="Times New Roman" w:hAnsi="Times New Roman" w:cs="Times New Roman"/>
          <w:sz w:val="24"/>
          <w:szCs w:val="24"/>
        </w:rPr>
        <w:t xml:space="preserve"> </w:t>
      </w:r>
      <w:r w:rsidRPr="00E12CFD">
        <w:rPr>
          <w:rFonts w:ascii="Times New Roman" w:hAnsi="Times New Roman" w:cs="Times New Roman"/>
          <w:sz w:val="24"/>
          <w:szCs w:val="24"/>
        </w:rPr>
        <w:t>individual encounters an environmental demand</w:t>
      </w:r>
      <w:r w:rsidR="001520D2">
        <w:rPr>
          <w:rFonts w:ascii="Times New Roman" w:hAnsi="Times New Roman" w:cs="Times New Roman"/>
          <w:sz w:val="24"/>
          <w:szCs w:val="24"/>
        </w:rPr>
        <w:t xml:space="preserve"> which </w:t>
      </w:r>
      <w:r w:rsidR="00D072A7">
        <w:rPr>
          <w:rFonts w:ascii="Times New Roman" w:hAnsi="Times New Roman" w:cs="Times New Roman"/>
          <w:sz w:val="24"/>
          <w:szCs w:val="24"/>
        </w:rPr>
        <w:t>is</w:t>
      </w:r>
      <w:r w:rsidR="001520D2">
        <w:rPr>
          <w:rFonts w:ascii="Times New Roman" w:hAnsi="Times New Roman" w:cs="Times New Roman"/>
          <w:sz w:val="24"/>
          <w:szCs w:val="24"/>
        </w:rPr>
        <w:t xml:space="preserve"> the events or the characteristics or the properties of events that individuals encounter (Kahn &amp; Byosiere,1992)</w:t>
      </w:r>
      <w:r w:rsidRPr="00E12CFD">
        <w:rPr>
          <w:rFonts w:ascii="Times New Roman" w:hAnsi="Times New Roman" w:cs="Times New Roman"/>
          <w:sz w:val="24"/>
          <w:szCs w:val="24"/>
        </w:rPr>
        <w:t>, 2) which initiates an appraisal process in terms of its relevance to personal well-being, 3) which triggers stress responses in terms of psychological states (e.g., coping responses), and 4) which results in psychological, behavioral, and physiological outcomes. This process provides a framework for describing the stress process</w:t>
      </w:r>
      <w:r w:rsidR="00D072A7">
        <w:rPr>
          <w:rFonts w:ascii="Times New Roman" w:hAnsi="Times New Roman" w:cs="Times New Roman"/>
          <w:sz w:val="24"/>
          <w:szCs w:val="24"/>
        </w:rPr>
        <w:t>. Still</w:t>
      </w:r>
      <w:r w:rsidR="00C00C95">
        <w:rPr>
          <w:rFonts w:ascii="Times New Roman" w:hAnsi="Times New Roman" w:cs="Times New Roman"/>
          <w:sz w:val="24"/>
          <w:szCs w:val="24"/>
        </w:rPr>
        <w:t xml:space="preserve">, </w:t>
      </w:r>
      <w:r w:rsidRPr="00E12CFD">
        <w:rPr>
          <w:rFonts w:ascii="Times New Roman" w:hAnsi="Times New Roman" w:cs="Times New Roman"/>
          <w:sz w:val="24"/>
          <w:szCs w:val="24"/>
        </w:rPr>
        <w:t>it is general enough to allow for a nuanced view of the process based on the numerous theories applied to</w:t>
      </w:r>
      <w:r w:rsidR="00D072A7">
        <w:rPr>
          <w:rFonts w:ascii="Times New Roman" w:hAnsi="Times New Roman" w:cs="Times New Roman"/>
          <w:sz w:val="24"/>
          <w:szCs w:val="24"/>
        </w:rPr>
        <w:t xml:space="preserve"> </w:t>
      </w:r>
      <w:r w:rsidRPr="00E12CFD">
        <w:rPr>
          <w:rFonts w:ascii="Times New Roman" w:hAnsi="Times New Roman" w:cs="Times New Roman"/>
          <w:sz w:val="24"/>
          <w:szCs w:val="24"/>
        </w:rPr>
        <w:t>understand it</w:t>
      </w:r>
      <w:r w:rsidR="00D072A7">
        <w:rPr>
          <w:rFonts w:ascii="Times New Roman" w:hAnsi="Times New Roman" w:cs="Times New Roman"/>
          <w:sz w:val="24"/>
          <w:szCs w:val="24"/>
        </w:rPr>
        <w:t xml:space="preserve"> better</w:t>
      </w:r>
      <w:r w:rsidRPr="00E12CFD">
        <w:rPr>
          <w:rFonts w:ascii="Times New Roman" w:hAnsi="Times New Roman" w:cs="Times New Roman"/>
          <w:sz w:val="24"/>
          <w:szCs w:val="24"/>
        </w:rPr>
        <w:t xml:space="preserve">. </w:t>
      </w:r>
      <w:r w:rsidR="00EF507E">
        <w:rPr>
          <w:rFonts w:ascii="Times New Roman" w:hAnsi="Times New Roman" w:cs="Times New Roman"/>
          <w:sz w:val="24"/>
          <w:szCs w:val="24"/>
        </w:rPr>
        <w:t>Once demands are appraised, they are termed as “stressors” in this dissertation.</w:t>
      </w:r>
    </w:p>
    <w:p w14:paraId="464EB03A" w14:textId="77777777" w:rsidR="003E5B95" w:rsidRDefault="003E5B95" w:rsidP="003E5B95">
      <w:pPr>
        <w:pStyle w:val="ListParagraph"/>
        <w:spacing w:line="480" w:lineRule="auto"/>
        <w:ind w:left="0"/>
        <w:rPr>
          <w:rFonts w:ascii="Times New Roman" w:hAnsi="Times New Roman" w:cs="Times New Roman"/>
          <w:color w:val="222222"/>
          <w:sz w:val="24"/>
          <w:szCs w:val="24"/>
          <w:shd w:val="clear" w:color="auto" w:fill="FFFFFF"/>
        </w:rPr>
      </w:pPr>
      <w:r w:rsidRPr="00E12CFD">
        <w:rPr>
          <w:rFonts w:ascii="Times New Roman" w:hAnsi="Times New Roman" w:cs="Times New Roman"/>
          <w:sz w:val="24"/>
          <w:szCs w:val="24"/>
        </w:rPr>
        <w:t xml:space="preserve">Although these stages are central to the stress process, the stress process in and of itself is a context-specific phenomenon in which demands are inherent to that </w:t>
      </w:r>
      <w:proofErr w:type="gramStart"/>
      <w:r w:rsidRPr="00E12CFD">
        <w:rPr>
          <w:rFonts w:ascii="Times New Roman" w:hAnsi="Times New Roman" w:cs="Times New Roman"/>
          <w:sz w:val="24"/>
          <w:szCs w:val="24"/>
        </w:rPr>
        <w:t>particular context</w:t>
      </w:r>
      <w:proofErr w:type="gramEnd"/>
      <w:r w:rsidRPr="00E12CFD">
        <w:rPr>
          <w:rFonts w:ascii="Times New Roman" w:hAnsi="Times New Roman" w:cs="Times New Roman"/>
          <w:sz w:val="24"/>
          <w:szCs w:val="24"/>
        </w:rPr>
        <w:t xml:space="preserve"> </w:t>
      </w:r>
      <w:r>
        <w:rPr>
          <w:rFonts w:ascii="Times New Roman" w:hAnsi="Times New Roman" w:cs="Times New Roman"/>
          <w:noProof/>
          <w:sz w:val="24"/>
          <w:szCs w:val="24"/>
        </w:rPr>
        <w:t>(Cooper et al., 2001; Lazarus &amp; Folkman, 1987)</w:t>
      </w:r>
      <w:r w:rsidRPr="00E12CFD">
        <w:rPr>
          <w:rFonts w:ascii="Times New Roman" w:hAnsi="Times New Roman" w:cs="Times New Roman"/>
          <w:sz w:val="24"/>
          <w:szCs w:val="24"/>
        </w:rPr>
        <w:t xml:space="preserve">. For example, within an organization, stressful work experiences can be associated with </w:t>
      </w:r>
      <w:r w:rsidRPr="00E12CFD">
        <w:rPr>
          <w:rFonts w:ascii="Times New Roman" w:hAnsi="Times New Roman" w:cs="Times New Roman"/>
          <w:color w:val="222222"/>
          <w:sz w:val="24"/>
          <w:szCs w:val="24"/>
          <w:shd w:val="clear" w:color="auto" w:fill="FFFFFF"/>
        </w:rPr>
        <w:t xml:space="preserve">InfoSec </w:t>
      </w:r>
      <w:r>
        <w:rPr>
          <w:rFonts w:ascii="Times New Roman" w:hAnsi="Times New Roman" w:cs="Times New Roman"/>
          <w:noProof/>
          <w:color w:val="222222"/>
          <w:sz w:val="24"/>
          <w:szCs w:val="24"/>
          <w:shd w:val="clear" w:color="auto" w:fill="FFFFFF"/>
        </w:rPr>
        <w:t>(D'Arcy et al., 2014)</w:t>
      </w:r>
      <w:r w:rsidRPr="00E12CFD">
        <w:rPr>
          <w:rFonts w:ascii="Times New Roman" w:hAnsi="Times New Roman" w:cs="Times New Roman"/>
          <w:color w:val="222222"/>
          <w:sz w:val="24"/>
          <w:szCs w:val="24"/>
          <w:shd w:val="clear" w:color="auto" w:fill="FFFFFF"/>
        </w:rPr>
        <w:t xml:space="preserve">, technology development, technology adoption </w:t>
      </w:r>
      <w:r>
        <w:rPr>
          <w:rFonts w:ascii="Times New Roman" w:hAnsi="Times New Roman" w:cs="Times New Roman"/>
          <w:noProof/>
          <w:color w:val="222222"/>
          <w:sz w:val="24"/>
          <w:szCs w:val="24"/>
          <w:shd w:val="clear" w:color="auto" w:fill="FFFFFF"/>
        </w:rPr>
        <w:t xml:space="preserve">(Ayyagari et al., 2011; Beaudry &amp; Pinsonneault, 2005; Ragu-Nathan et al., </w:t>
      </w:r>
      <w:r>
        <w:rPr>
          <w:rFonts w:ascii="Times New Roman" w:hAnsi="Times New Roman" w:cs="Times New Roman"/>
          <w:noProof/>
          <w:color w:val="222222"/>
          <w:sz w:val="24"/>
          <w:szCs w:val="24"/>
          <w:shd w:val="clear" w:color="auto" w:fill="FFFFFF"/>
        </w:rPr>
        <w:lastRenderedPageBreak/>
        <w:t>2008; Windeler et al., 2017)</w:t>
      </w:r>
      <w:r w:rsidRPr="00E12CFD">
        <w:rPr>
          <w:rFonts w:ascii="Times New Roman" w:hAnsi="Times New Roman" w:cs="Times New Roman"/>
          <w:color w:val="222222"/>
          <w:sz w:val="24"/>
          <w:szCs w:val="24"/>
          <w:shd w:val="clear" w:color="auto" w:fill="FFFFFF"/>
        </w:rPr>
        <w:t xml:space="preserve">, and work–life equilibrium </w:t>
      </w:r>
      <w:r>
        <w:rPr>
          <w:rFonts w:ascii="Times New Roman" w:hAnsi="Times New Roman" w:cs="Times New Roman"/>
          <w:noProof/>
          <w:color w:val="222222"/>
          <w:sz w:val="24"/>
          <w:szCs w:val="24"/>
          <w:shd w:val="clear" w:color="auto" w:fill="FFFFFF"/>
        </w:rPr>
        <w:t>(Ahuja et al., 2007; Igbaria et al., 1994; Li &amp; Shani, 1991; Moore, 2000)</w:t>
      </w:r>
      <w:r w:rsidRPr="00E12CFD">
        <w:rPr>
          <w:rFonts w:ascii="Times New Roman" w:hAnsi="Times New Roman" w:cs="Times New Roman"/>
          <w:color w:val="222222"/>
          <w:sz w:val="24"/>
          <w:szCs w:val="24"/>
          <w:shd w:val="clear" w:color="auto" w:fill="FFFFFF"/>
        </w:rPr>
        <w:t>.</w:t>
      </w:r>
    </w:p>
    <w:p w14:paraId="53CB8D31" w14:textId="77777777" w:rsidR="003E5B95" w:rsidRPr="007E79DD" w:rsidRDefault="003E5B95" w:rsidP="003E5B95">
      <w:pPr>
        <w:pStyle w:val="Caption"/>
        <w:keepNext/>
        <w:spacing w:line="480" w:lineRule="auto"/>
        <w:rPr>
          <w:sz w:val="24"/>
          <w:szCs w:val="24"/>
        </w:rPr>
      </w:pPr>
      <w:bookmarkStart w:id="66" w:name="_Toc73955278"/>
      <w:r w:rsidRPr="007E79DD">
        <w:rPr>
          <w:sz w:val="24"/>
          <w:szCs w:val="24"/>
        </w:rPr>
        <w:t xml:space="preserve">Figure </w:t>
      </w:r>
      <w:r w:rsidRPr="007E79DD">
        <w:rPr>
          <w:sz w:val="24"/>
          <w:szCs w:val="24"/>
        </w:rPr>
        <w:fldChar w:fldCharType="begin"/>
      </w:r>
      <w:r w:rsidRPr="007E79DD">
        <w:rPr>
          <w:sz w:val="24"/>
          <w:szCs w:val="24"/>
        </w:rPr>
        <w:instrText xml:space="preserve"> SEQ Figure \* ARABIC </w:instrText>
      </w:r>
      <w:r w:rsidRPr="007E79DD">
        <w:rPr>
          <w:sz w:val="24"/>
          <w:szCs w:val="24"/>
        </w:rPr>
        <w:fldChar w:fldCharType="separate"/>
      </w:r>
      <w:r w:rsidRPr="007E79DD">
        <w:rPr>
          <w:noProof/>
          <w:sz w:val="24"/>
          <w:szCs w:val="24"/>
        </w:rPr>
        <w:t>2</w:t>
      </w:r>
      <w:r w:rsidRPr="007E79DD">
        <w:rPr>
          <w:noProof/>
          <w:sz w:val="24"/>
          <w:szCs w:val="24"/>
        </w:rPr>
        <w:fldChar w:fldCharType="end"/>
      </w:r>
      <w:r w:rsidRPr="007E79DD">
        <w:rPr>
          <w:sz w:val="24"/>
          <w:szCs w:val="24"/>
        </w:rPr>
        <w:t xml:space="preserve"> </w:t>
      </w:r>
    </w:p>
    <w:p w14:paraId="42F46EC3" w14:textId="77777777" w:rsidR="003E5B95" w:rsidRPr="007E79DD" w:rsidRDefault="003E5B95" w:rsidP="003E5B95">
      <w:pPr>
        <w:pStyle w:val="Caption"/>
        <w:keepNext/>
        <w:spacing w:line="480" w:lineRule="auto"/>
        <w:rPr>
          <w:b w:val="0"/>
          <w:bCs/>
          <w:i/>
          <w:iCs w:val="0"/>
          <w:sz w:val="24"/>
          <w:szCs w:val="24"/>
        </w:rPr>
      </w:pPr>
      <w:r w:rsidRPr="007E79DD">
        <w:rPr>
          <w:b w:val="0"/>
          <w:bCs/>
          <w:i/>
          <w:iCs w:val="0"/>
          <w:sz w:val="24"/>
          <w:szCs w:val="24"/>
        </w:rPr>
        <w:t>McGrath's Stress Process</w:t>
      </w:r>
      <w:bookmarkEnd w:id="66"/>
    </w:p>
    <w:p w14:paraId="364A0023" w14:textId="77777777" w:rsidR="003E5B95" w:rsidRDefault="003E5B95" w:rsidP="003E5B95">
      <w:pPr>
        <w:pStyle w:val="ListParagraph"/>
        <w:spacing w:line="480" w:lineRule="auto"/>
        <w:ind w:left="0"/>
        <w:jc w:val="center"/>
        <w:rPr>
          <w:rFonts w:ascii="Times New Roman" w:hAnsi="Times New Roman" w:cs="Times New Roman"/>
          <w:sz w:val="24"/>
          <w:szCs w:val="24"/>
        </w:rPr>
      </w:pPr>
      <w:r>
        <w:rPr>
          <w:rFonts w:ascii="Times New Roman" w:hAnsi="Times New Roman" w:cs="Times New Roman"/>
          <w:noProof/>
          <w:sz w:val="24"/>
          <w:szCs w:val="24"/>
          <w:lang w:eastAsia="en-US"/>
        </w:rPr>
        <w:drawing>
          <wp:inline distT="0" distB="0" distL="0" distR="0" wp14:anchorId="6582D713" wp14:editId="6781E3FE">
            <wp:extent cx="4991100" cy="944880"/>
            <wp:effectExtent l="0" t="0" r="0" b="7620"/>
            <wp:docPr id="10" name="Picture 10"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Diagram&#10;&#10;Description automatically generated"/>
                    <pic:cNvPicPr/>
                  </pic:nvPicPr>
                  <pic:blipFill rotWithShape="1">
                    <a:blip r:embed="rId14" cstate="print">
                      <a:extLst>
                        <a:ext uri="{28A0092B-C50C-407E-A947-70E740481C1C}">
                          <a14:useLocalDpi xmlns:a14="http://schemas.microsoft.com/office/drawing/2010/main" val="0"/>
                        </a:ext>
                      </a:extLst>
                    </a:blip>
                    <a:srcRect l="5640" t="20513" r="10385" b="39744"/>
                    <a:stretch/>
                  </pic:blipFill>
                  <pic:spPr bwMode="auto">
                    <a:xfrm>
                      <a:off x="0" y="0"/>
                      <a:ext cx="4991100" cy="944880"/>
                    </a:xfrm>
                    <a:prstGeom prst="rect">
                      <a:avLst/>
                    </a:prstGeom>
                    <a:ln>
                      <a:noFill/>
                    </a:ln>
                    <a:extLst>
                      <a:ext uri="{53640926-AAD7-44D8-BBD7-CCE9431645EC}">
                        <a14:shadowObscured xmlns:a14="http://schemas.microsoft.com/office/drawing/2010/main"/>
                      </a:ext>
                    </a:extLst>
                  </pic:spPr>
                </pic:pic>
              </a:graphicData>
            </a:graphic>
          </wp:inline>
        </w:drawing>
      </w:r>
    </w:p>
    <w:p w14:paraId="4FF41BA0" w14:textId="77777777" w:rsidR="003E5B95" w:rsidRPr="00310722" w:rsidRDefault="003E5B95" w:rsidP="003E5B95">
      <w:pPr>
        <w:pStyle w:val="ListParagraph"/>
        <w:spacing w:line="480" w:lineRule="auto"/>
        <w:ind w:left="0" w:firstLine="360"/>
        <w:rPr>
          <w:rFonts w:ascii="Times New Roman" w:hAnsi="Times New Roman" w:cs="Times New Roman"/>
          <w:sz w:val="24"/>
          <w:szCs w:val="24"/>
        </w:rPr>
      </w:pPr>
      <w:r w:rsidRPr="00E12CFD">
        <w:rPr>
          <w:rFonts w:ascii="Times New Roman" w:hAnsi="Times New Roman" w:cs="Times New Roman"/>
          <w:sz w:val="24"/>
          <w:szCs w:val="24"/>
        </w:rPr>
        <w:t xml:space="preserve">We leveraged McGrath’s stress process as a framework for presenting our assessing review findings. By doing so, we were able to more clearly see and explain how the stress research applicable to the cybersecurity profession can explain how and why cybersecurity professionals respond to job demands in the manner they do by taking into account the subjective nature of job demands and cybersecurity professional’s reactions to them </w:t>
      </w:r>
      <w:r>
        <w:rPr>
          <w:rFonts w:ascii="Times New Roman" w:hAnsi="Times New Roman" w:cs="Times New Roman"/>
          <w:noProof/>
          <w:sz w:val="24"/>
          <w:szCs w:val="24"/>
        </w:rPr>
        <w:t>(Cooper et al., 2001)</w:t>
      </w:r>
      <w:r w:rsidRPr="00E12CFD">
        <w:rPr>
          <w:rFonts w:ascii="Times New Roman" w:hAnsi="Times New Roman" w:cs="Times New Roman"/>
          <w:sz w:val="24"/>
          <w:szCs w:val="24"/>
        </w:rPr>
        <w:t xml:space="preserve">. Further, McGrath’s stress process allows us to reveal and highlight the critical areas of the process cyber professionals undergo in dealing with stress that are either under-researched and in need of further exploration or are plagued by a lack of consensus among scholars working in the area, both of which can lead to a stagnation of knowledge among scholars attempting to contribute to our understanding of the phenomenon </w:t>
      </w:r>
      <w:r>
        <w:rPr>
          <w:rFonts w:ascii="Times New Roman" w:hAnsi="Times New Roman" w:cs="Times New Roman"/>
          <w:noProof/>
          <w:sz w:val="24"/>
          <w:szCs w:val="24"/>
        </w:rPr>
        <w:t>(Crossler et al., 2018)</w:t>
      </w:r>
      <w:r w:rsidRPr="00E12CFD">
        <w:rPr>
          <w:rFonts w:ascii="Times New Roman" w:hAnsi="Times New Roman" w:cs="Times New Roman"/>
          <w:sz w:val="24"/>
          <w:szCs w:val="24"/>
        </w:rPr>
        <w:t xml:space="preserve">. </w:t>
      </w:r>
    </w:p>
    <w:p w14:paraId="62D4ABF4" w14:textId="77777777" w:rsidR="003E5B95" w:rsidRPr="00E12CFD" w:rsidRDefault="003E5B95" w:rsidP="003E5B95">
      <w:pPr>
        <w:pStyle w:val="Heading2"/>
      </w:pPr>
      <w:bookmarkStart w:id="67" w:name="_Toc73602045"/>
      <w:bookmarkStart w:id="68" w:name="_Toc74045214"/>
      <w:bookmarkStart w:id="69" w:name="_Toc74087499"/>
      <w:bookmarkStart w:id="70" w:name="_Toc74258615"/>
      <w:r w:rsidRPr="00E12CFD">
        <w:rPr>
          <w:shd w:val="clear" w:color="auto" w:fill="FFFFFF"/>
        </w:rPr>
        <w:t>Demand</w:t>
      </w:r>
      <w:bookmarkEnd w:id="67"/>
      <w:bookmarkEnd w:id="68"/>
      <w:bookmarkEnd w:id="69"/>
      <w:bookmarkEnd w:id="70"/>
      <w:r w:rsidRPr="00E12CFD">
        <w:rPr>
          <w:shd w:val="clear" w:color="auto" w:fill="FFFFFF"/>
        </w:rPr>
        <w:t xml:space="preserve"> </w:t>
      </w:r>
    </w:p>
    <w:p w14:paraId="13D59FE3" w14:textId="77777777" w:rsidR="003E5B95" w:rsidRDefault="003E5B95" w:rsidP="003E5B95">
      <w:pPr>
        <w:keepNext/>
        <w:rPr>
          <w:rFonts w:cs="Times New Roman"/>
          <w:color w:val="222222"/>
          <w:szCs w:val="24"/>
          <w:shd w:val="clear" w:color="auto" w:fill="FFFFFF"/>
        </w:rPr>
      </w:pPr>
      <w:r w:rsidRPr="00E12CFD">
        <w:rPr>
          <w:rFonts w:cs="Times New Roman"/>
          <w:szCs w:val="24"/>
        </w:rPr>
        <w:t xml:space="preserve">Adapting an existing definition of demands, we define demands (environmental demands) as the events or characteristics of events that cybersecurity professionals encounter in the workplace </w:t>
      </w:r>
      <w:r>
        <w:rPr>
          <w:rFonts w:cs="Times New Roman"/>
          <w:noProof/>
          <w:szCs w:val="24"/>
        </w:rPr>
        <w:t>(Kahn &amp; Byosiere, 1992)</w:t>
      </w:r>
      <w:r w:rsidRPr="00E12CFD">
        <w:rPr>
          <w:rFonts w:cs="Times New Roman"/>
          <w:szCs w:val="24"/>
        </w:rPr>
        <w:t xml:space="preserve">. </w:t>
      </w:r>
      <w:r w:rsidRPr="00E12CFD">
        <w:rPr>
          <w:rFonts w:cs="Times New Roman"/>
          <w:color w:val="222222"/>
          <w:szCs w:val="24"/>
          <w:shd w:val="clear" w:color="auto" w:fill="FFFFFF"/>
        </w:rPr>
        <w:t xml:space="preserve">Demands are neutral and can be physical or psychological in nature </w:t>
      </w:r>
      <w:r>
        <w:rPr>
          <w:rFonts w:cs="Times New Roman"/>
          <w:noProof/>
          <w:color w:val="222222"/>
          <w:szCs w:val="24"/>
          <w:shd w:val="clear" w:color="auto" w:fill="FFFFFF"/>
        </w:rPr>
        <w:t>(Simmons &amp; Nelson, 2007)</w:t>
      </w:r>
      <w:r w:rsidRPr="00E12CFD">
        <w:rPr>
          <w:rFonts w:cs="Times New Roman"/>
          <w:color w:val="222222"/>
          <w:szCs w:val="24"/>
          <w:shd w:val="clear" w:color="auto" w:fill="FFFFFF"/>
        </w:rPr>
        <w:t xml:space="preserve">. Within any organization, the demands that cause stress can be classified into different categories: physical demands (e.g., noise), job-related demands (e.g., </w:t>
      </w:r>
      <w:r w:rsidRPr="00E12CFD">
        <w:rPr>
          <w:rFonts w:cs="Times New Roman"/>
          <w:color w:val="222222"/>
          <w:szCs w:val="24"/>
          <w:shd w:val="clear" w:color="auto" w:fill="FFFFFF"/>
        </w:rPr>
        <w:lastRenderedPageBreak/>
        <w:t xml:space="preserve">work hours), role demands (e.g., role ambiguity, role conflict, and role overload), relationship demands (e.g., relationships with supervisors, coworkers, etc.), career-related demands (e.g., job insecurity), work schedule–related demands (e.g., work shifts), organizational factors (e.g., organizational structure), traumatic events (e.g., a major accident), organizational change (e.g., a merger), work–family (or family–work) conflicts, and invasions of privacy </w:t>
      </w:r>
      <w:r>
        <w:rPr>
          <w:rFonts w:cs="Times New Roman"/>
          <w:noProof/>
          <w:color w:val="222222"/>
          <w:szCs w:val="24"/>
          <w:shd w:val="clear" w:color="auto" w:fill="FFFFFF"/>
        </w:rPr>
        <w:t>(Ayyagari et al., 2011; Cooper et al., 2001; Jex, 1998; Sonnentag &amp; Frese, 2003)</w:t>
      </w:r>
      <w:r w:rsidRPr="00E12CFD">
        <w:rPr>
          <w:rFonts w:cs="Times New Roman"/>
          <w:color w:val="222222"/>
          <w:szCs w:val="24"/>
          <w:shd w:val="clear" w:color="auto" w:fill="FFFFFF"/>
        </w:rPr>
        <w:t xml:space="preserve">. </w:t>
      </w:r>
    </w:p>
    <w:p w14:paraId="05637EB1" w14:textId="77777777" w:rsidR="003E5B95" w:rsidRPr="00310722" w:rsidRDefault="003E5B95" w:rsidP="003E5B95">
      <w:pPr>
        <w:keepNext/>
        <w:rPr>
          <w:rFonts w:cs="Times New Roman"/>
          <w:color w:val="222222"/>
          <w:szCs w:val="24"/>
          <w:shd w:val="clear" w:color="auto" w:fill="FFFFFF"/>
        </w:rPr>
      </w:pPr>
      <w:r w:rsidRPr="00E12CFD">
        <w:rPr>
          <w:rFonts w:cs="Times New Roman"/>
          <w:szCs w:val="24"/>
        </w:rPr>
        <w:t xml:space="preserve">Technology-enabled interruptions, social media use at work, email (overload), information systems project-related demands, computer monitoring, smartphone withdrawal, and security-related demands are just a few of the context-specific demands IS scholars have explored as potential determinants of stress </w:t>
      </w:r>
      <w:r>
        <w:rPr>
          <w:rFonts w:cs="Times New Roman"/>
          <w:noProof/>
          <w:szCs w:val="24"/>
        </w:rPr>
        <w:t>(Chen &amp; Karahanna, 2018; D'Arcy et al., 2014; D'Arcy et al., 2018; Galluch et al., 2015; George, 1996; Ragu-Nathan et al., 2008; Tams, Legoux, et al., 2018; Tarafdar et al., 2007; Windeler et al., 2017)</w:t>
      </w:r>
      <w:r w:rsidRPr="00E12CFD">
        <w:rPr>
          <w:rFonts w:cs="Times New Roman"/>
          <w:szCs w:val="24"/>
        </w:rPr>
        <w:t xml:space="preserve">. Although these demands are primarily explored among populations of regular end users and organizational staffers, these demands are still applicable, informing our theorizing that pertains to cybersecurity professionals because they are typically encountered in some very specific, contextualized manner, and they all share in common their ability to influence </w:t>
      </w:r>
      <w:r>
        <w:rPr>
          <w:rFonts w:cs="Times New Roman"/>
          <w:szCs w:val="24"/>
        </w:rPr>
        <w:t>cybersecurity professionals</w:t>
      </w:r>
      <w:r w:rsidRPr="00E12CFD">
        <w:rPr>
          <w:rFonts w:cs="Times New Roman"/>
          <w:szCs w:val="24"/>
        </w:rPr>
        <w:t xml:space="preserve"> that must face them. </w:t>
      </w:r>
    </w:p>
    <w:p w14:paraId="54FFFAC1" w14:textId="77777777" w:rsidR="003E5B95" w:rsidRPr="00CB4ABD" w:rsidRDefault="003E5B95" w:rsidP="003E5B95">
      <w:pPr>
        <w:pStyle w:val="ListParagraph"/>
        <w:spacing w:line="480" w:lineRule="auto"/>
        <w:ind w:left="0" w:firstLine="360"/>
        <w:rPr>
          <w:rFonts w:ascii="Times New Roman" w:hAnsi="Times New Roman" w:cs="Times New Roman"/>
          <w:sz w:val="24"/>
          <w:szCs w:val="24"/>
        </w:rPr>
      </w:pPr>
      <w:r w:rsidRPr="00CB4ABD">
        <w:rPr>
          <w:rFonts w:ascii="Times New Roman" w:hAnsi="Times New Roman" w:cs="Times New Roman"/>
          <w:color w:val="222222"/>
          <w:sz w:val="24"/>
          <w:szCs w:val="24"/>
          <w:shd w:val="clear" w:color="auto" w:fill="FFFFFF"/>
        </w:rPr>
        <w:t xml:space="preserve">Our review also finds a two-dimensional classification of demands in the form of the challenge and hindrance framework (CHF) </w:t>
      </w:r>
      <w:r w:rsidRPr="00CB4ABD">
        <w:rPr>
          <w:rFonts w:ascii="Times New Roman" w:hAnsi="Times New Roman" w:cs="Times New Roman"/>
          <w:noProof/>
          <w:color w:val="222222"/>
          <w:sz w:val="24"/>
          <w:szCs w:val="24"/>
          <w:shd w:val="clear" w:color="auto" w:fill="FFFFFF"/>
        </w:rPr>
        <w:t>(Cavanaugh et al., 2000; LePine et al., 2005)</w:t>
      </w:r>
      <w:r w:rsidRPr="00CB4ABD">
        <w:rPr>
          <w:rFonts w:ascii="Times New Roman" w:hAnsi="Times New Roman" w:cs="Times New Roman"/>
          <w:color w:val="222222"/>
          <w:sz w:val="24"/>
          <w:szCs w:val="24"/>
          <w:shd w:val="clear" w:color="auto" w:fill="FFFFFF"/>
        </w:rPr>
        <w:t xml:space="preserve">. This framework describes demands as either challenge or hindrance related. In general, challenge demands are workplace demands or circumstances that are potentially stressful but produce positive work-related outcomes; however, hindrance demands are those that constrain or present an obstacle to an individual’s work accomplishments and do not produce positive work-related outcomes </w:t>
      </w:r>
      <w:r w:rsidRPr="00CB4ABD">
        <w:rPr>
          <w:rFonts w:ascii="Times New Roman" w:hAnsi="Times New Roman" w:cs="Times New Roman"/>
          <w:noProof/>
          <w:color w:val="222222"/>
          <w:sz w:val="24"/>
          <w:szCs w:val="24"/>
          <w:shd w:val="clear" w:color="auto" w:fill="FFFFFF"/>
        </w:rPr>
        <w:t>(Cavanaugh et al., 2000; LePine et al., 2004; Podsakoff et al., 2007)</w:t>
      </w:r>
      <w:r w:rsidRPr="00CB4ABD">
        <w:rPr>
          <w:rFonts w:ascii="Times New Roman" w:hAnsi="Times New Roman" w:cs="Times New Roman"/>
          <w:color w:val="222222"/>
          <w:sz w:val="24"/>
          <w:szCs w:val="24"/>
          <w:shd w:val="clear" w:color="auto" w:fill="FFFFFF"/>
        </w:rPr>
        <w:t xml:space="preserve">. The CHF has </w:t>
      </w:r>
      <w:r w:rsidRPr="00CB4ABD">
        <w:rPr>
          <w:rFonts w:ascii="Times New Roman" w:hAnsi="Times New Roman" w:cs="Times New Roman"/>
          <w:color w:val="222222"/>
          <w:sz w:val="24"/>
          <w:szCs w:val="24"/>
          <w:shd w:val="clear" w:color="auto" w:fill="FFFFFF"/>
        </w:rPr>
        <w:lastRenderedPageBreak/>
        <w:t xml:space="preserve">recently been used in IS technostress research and classifies technology-related demands as challenge and hindrance technostressors </w:t>
      </w:r>
      <w:r w:rsidRPr="00CB4ABD">
        <w:rPr>
          <w:rFonts w:ascii="Times New Roman" w:hAnsi="Times New Roman" w:cs="Times New Roman"/>
          <w:noProof/>
          <w:color w:val="222222"/>
          <w:sz w:val="24"/>
          <w:szCs w:val="24"/>
          <w:shd w:val="clear" w:color="auto" w:fill="FFFFFF"/>
        </w:rPr>
        <w:t>(Califf et al., 2020)</w:t>
      </w:r>
      <w:r w:rsidRPr="00CB4ABD">
        <w:rPr>
          <w:rFonts w:ascii="Times New Roman" w:hAnsi="Times New Roman" w:cs="Times New Roman"/>
          <w:color w:val="222222"/>
          <w:sz w:val="24"/>
          <w:szCs w:val="24"/>
          <w:shd w:val="clear" w:color="auto" w:fill="FFFFFF"/>
        </w:rPr>
        <w:t>.</w:t>
      </w:r>
    </w:p>
    <w:p w14:paraId="7B43AFA0" w14:textId="77777777"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Furthermore, in IS research, technostress creators are contextualized demands related to the use of information communication technology (ICT), capturing the </w:t>
      </w:r>
      <w:r w:rsidRPr="00E12CFD">
        <w:rPr>
          <w:rFonts w:cs="Times New Roman"/>
          <w:iCs/>
          <w:color w:val="222222"/>
          <w:szCs w:val="24"/>
          <w:shd w:val="clear" w:color="auto" w:fill="FFFFFF"/>
        </w:rPr>
        <w:t>overload (techno-overload)</w:t>
      </w:r>
      <w:r w:rsidRPr="00E12CFD">
        <w:rPr>
          <w:rFonts w:cs="Times New Roman"/>
          <w:color w:val="222222"/>
          <w:szCs w:val="24"/>
          <w:shd w:val="clear" w:color="auto" w:fill="FFFFFF"/>
        </w:rPr>
        <w:t xml:space="preserve">, </w:t>
      </w:r>
      <w:r w:rsidRPr="00E12CFD">
        <w:rPr>
          <w:rFonts w:cs="Times New Roman"/>
          <w:iCs/>
          <w:color w:val="222222"/>
          <w:szCs w:val="24"/>
          <w:shd w:val="clear" w:color="auto" w:fill="FFFFFF"/>
        </w:rPr>
        <w:t>complexity (techno-complexity)</w:t>
      </w:r>
      <w:r w:rsidRPr="00E12CFD">
        <w:rPr>
          <w:rFonts w:cs="Times New Roman"/>
          <w:color w:val="222222"/>
          <w:szCs w:val="24"/>
          <w:shd w:val="clear" w:color="auto" w:fill="FFFFFF"/>
        </w:rPr>
        <w:t xml:space="preserve">, </w:t>
      </w:r>
      <w:r w:rsidRPr="00E12CFD">
        <w:rPr>
          <w:rFonts w:cs="Times New Roman"/>
          <w:iCs/>
          <w:color w:val="222222"/>
          <w:szCs w:val="24"/>
          <w:shd w:val="clear" w:color="auto" w:fill="FFFFFF"/>
        </w:rPr>
        <w:t>invasiveness (techno-invasion)</w:t>
      </w:r>
      <w:r w:rsidRPr="00E12CFD">
        <w:rPr>
          <w:rFonts w:cs="Times New Roman"/>
          <w:color w:val="222222"/>
          <w:szCs w:val="24"/>
          <w:shd w:val="clear" w:color="auto" w:fill="FFFFFF"/>
        </w:rPr>
        <w:t xml:space="preserve">, </w:t>
      </w:r>
      <w:r w:rsidRPr="00E12CFD">
        <w:rPr>
          <w:rFonts w:cs="Times New Roman"/>
          <w:iCs/>
          <w:color w:val="222222"/>
          <w:szCs w:val="24"/>
          <w:shd w:val="clear" w:color="auto" w:fill="FFFFFF"/>
        </w:rPr>
        <w:t>insecurity (techno-insecurity)</w:t>
      </w:r>
      <w:r w:rsidRPr="00E12CFD">
        <w:rPr>
          <w:rFonts w:cs="Times New Roman"/>
          <w:color w:val="222222"/>
          <w:szCs w:val="24"/>
          <w:shd w:val="clear" w:color="auto" w:fill="FFFFFF"/>
        </w:rPr>
        <w:t xml:space="preserve">, and </w:t>
      </w:r>
      <w:r w:rsidRPr="00E12CFD">
        <w:rPr>
          <w:rFonts w:cs="Times New Roman"/>
          <w:iCs/>
          <w:color w:val="222222"/>
          <w:szCs w:val="24"/>
          <w:shd w:val="clear" w:color="auto" w:fill="FFFFFF"/>
        </w:rPr>
        <w:t xml:space="preserve">uncertainty (techno-uncertainty) dimensions of ICT use </w:t>
      </w:r>
      <w:r>
        <w:rPr>
          <w:rFonts w:cs="Times New Roman"/>
          <w:iCs/>
          <w:noProof/>
          <w:color w:val="222222"/>
          <w:szCs w:val="24"/>
          <w:shd w:val="clear" w:color="auto" w:fill="FFFFFF"/>
        </w:rPr>
        <w:t>(Ragu-Nathan et al., 2008; Tarafdar et al., 2007)</w:t>
      </w:r>
      <w:r w:rsidRPr="00E12CFD">
        <w:rPr>
          <w:rFonts w:cs="Times New Roman"/>
          <w:color w:val="222222"/>
          <w:szCs w:val="24"/>
          <w:shd w:val="clear" w:color="auto" w:fill="FFFFFF"/>
        </w:rPr>
        <w:t xml:space="preserve">. In other words, demands are imposed by ICTs, where ICTs force users to work faster and longer durations of time (techno-overload). ICTs create situations where ICTs are appraised as complex and require users to spend more time and effort learning new skills (techno-complexity). Further, ICTs are perceived as invasive to users’ privacy (techno-invasion), causing a sense of fear among users that they could lose their jobs (techno-insecurity). Primarily, these ICT-imposed demands are associated with negative outcomes </w:t>
      </w:r>
      <w:r>
        <w:rPr>
          <w:rFonts w:cs="Times New Roman"/>
          <w:noProof/>
          <w:color w:val="222222"/>
          <w:szCs w:val="24"/>
          <w:shd w:val="clear" w:color="auto" w:fill="FFFFFF"/>
        </w:rPr>
        <w:t>(Tarafdar, Pullins, et al., 2015; Tarafdar et al., 2007; Tarafdar et al., 2010)</w:t>
      </w:r>
      <w:r w:rsidRPr="00E12CFD">
        <w:rPr>
          <w:rFonts w:cs="Times New Roman"/>
          <w:color w:val="222222"/>
          <w:szCs w:val="24"/>
          <w:shd w:val="clear" w:color="auto" w:fill="FFFFFF"/>
        </w:rPr>
        <w:t xml:space="preserve">, and over the course of more than a decade, technostress creators have been explored in a variety of studies </w:t>
      </w:r>
      <w:r>
        <w:rPr>
          <w:rFonts w:cs="Times New Roman"/>
          <w:noProof/>
          <w:color w:val="222222"/>
          <w:szCs w:val="24"/>
          <w:shd w:val="clear" w:color="auto" w:fill="FFFFFF"/>
        </w:rPr>
        <w:t>(Fuglseth &amp; Sørebø, 2014; Jena, 2015; Krishnan, 2017; Pirkkalainen et al., 2017; Pirkkalainen et al., 2019; Srivastava et al., 2015; Wang et al., 2008)</w:t>
      </w:r>
      <w:r w:rsidRPr="00E12CFD">
        <w:rPr>
          <w:rFonts w:cs="Times New Roman"/>
          <w:color w:val="222222"/>
          <w:szCs w:val="24"/>
          <w:shd w:val="clear" w:color="auto" w:fill="FFFFFF"/>
        </w:rPr>
        <w:t xml:space="preserve">. Overall, technostress creators are presented in the literature as a threat or hindrance to one’s job or personal accomplishments </w:t>
      </w:r>
      <w:r>
        <w:rPr>
          <w:rFonts w:cs="Times New Roman"/>
          <w:noProof/>
          <w:color w:val="222222"/>
          <w:szCs w:val="24"/>
          <w:shd w:val="clear" w:color="auto" w:fill="FFFFFF"/>
        </w:rPr>
        <w:t>(Tarafdar et al., 2017)</w:t>
      </w:r>
      <w:r w:rsidRPr="00E12CFD">
        <w:rPr>
          <w:rFonts w:cs="Times New Roman"/>
          <w:color w:val="222222"/>
          <w:szCs w:val="24"/>
          <w:shd w:val="clear" w:color="auto" w:fill="FFFFFF"/>
        </w:rPr>
        <w:t xml:space="preserve">. </w:t>
      </w:r>
    </w:p>
    <w:p w14:paraId="6EB59471" w14:textId="6E4268F0"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Technostress creators are further contextualized in the InfoSec literature as security-related stress (SRS) and security-related technostress creators; however, only three dimensions of technostress creators—overload, complexity, and uncertainty—have been deemed appropriate within this context </w:t>
      </w:r>
      <w:r>
        <w:rPr>
          <w:rFonts w:cs="Times New Roman"/>
          <w:noProof/>
          <w:color w:val="222222"/>
          <w:szCs w:val="24"/>
          <w:shd w:val="clear" w:color="auto" w:fill="FFFFFF"/>
        </w:rPr>
        <w:t>(D'Arcy et al., 2014; D'Arcy et al., 2018; Hwang &amp; Cha, 2018)</w:t>
      </w:r>
      <w:r w:rsidRPr="00E12CFD">
        <w:rPr>
          <w:rFonts w:cs="Times New Roman"/>
          <w:color w:val="222222"/>
          <w:szCs w:val="24"/>
          <w:shd w:val="clear" w:color="auto" w:fill="FFFFFF"/>
        </w:rPr>
        <w:t xml:space="preserve">. D’Arcy et al. (2014), which is the first article to contextualize technostress creators to the InfoSec context, relabels these dimensions as SRS overload, SRS complexity, and SRS uncertainty to make them </w:t>
      </w:r>
      <w:r w:rsidRPr="00E12CFD">
        <w:rPr>
          <w:rFonts w:cs="Times New Roman"/>
          <w:color w:val="222222"/>
          <w:szCs w:val="24"/>
          <w:shd w:val="clear" w:color="auto" w:fill="FFFFFF"/>
        </w:rPr>
        <w:lastRenderedPageBreak/>
        <w:t xml:space="preserve">more context-specific; however, Ament and Haag (2016a) extend D’Arcy et al.’s (2014) work to add more dimensions (see Table </w:t>
      </w:r>
      <w:r w:rsidR="00AD0F75">
        <w:rPr>
          <w:rFonts w:cs="Times New Roman"/>
          <w:color w:val="222222"/>
          <w:szCs w:val="24"/>
          <w:shd w:val="clear" w:color="auto" w:fill="FFFFFF"/>
        </w:rPr>
        <w:t>2</w:t>
      </w:r>
      <w:r w:rsidRPr="00E12CFD">
        <w:rPr>
          <w:rFonts w:cs="Times New Roman"/>
          <w:color w:val="222222"/>
          <w:szCs w:val="24"/>
          <w:shd w:val="clear" w:color="auto" w:fill="FFFFFF"/>
        </w:rPr>
        <w:t xml:space="preserve">). Internal (e.g., policies and procedures) and external (e.g., industry regulations) security requirements serve as the demands imposed on employees. However, more recently, D’Arcy and </w:t>
      </w:r>
      <w:proofErr w:type="spellStart"/>
      <w:r w:rsidRPr="00E12CFD">
        <w:rPr>
          <w:rFonts w:cs="Times New Roman"/>
          <w:color w:val="222222"/>
          <w:szCs w:val="24"/>
          <w:shd w:val="clear" w:color="auto" w:fill="FFFFFF"/>
        </w:rPr>
        <w:t>Teh</w:t>
      </w:r>
      <w:proofErr w:type="spellEnd"/>
      <w:r w:rsidRPr="00E12CFD">
        <w:rPr>
          <w:rFonts w:cs="Times New Roman"/>
          <w:color w:val="222222"/>
          <w:szCs w:val="24"/>
          <w:shd w:val="clear" w:color="auto" w:fill="FFFFFF"/>
        </w:rPr>
        <w:t xml:space="preserve"> (2019) conceptualize SRS slightly differently from previous work and focus on the security requirements that vary on a day-to-day basis and serve as hindrances or obstacles for an employee’s primary task achievements.</w:t>
      </w:r>
    </w:p>
    <w:p w14:paraId="748983CD" w14:textId="77777777" w:rsidR="00A20A73" w:rsidRDefault="00A20A73" w:rsidP="00A20A73">
      <w:pPr>
        <w:pStyle w:val="Caption"/>
        <w:keepNext/>
        <w:spacing w:line="480" w:lineRule="auto"/>
        <w:rPr>
          <w:sz w:val="24"/>
          <w:szCs w:val="24"/>
        </w:rPr>
      </w:pPr>
      <w:bookmarkStart w:id="71" w:name="_Toc74074413"/>
      <w:bookmarkStart w:id="72" w:name="_Toc73913549"/>
      <w:bookmarkStart w:id="73" w:name="_Toc73913619"/>
      <w:bookmarkStart w:id="74" w:name="_Toc73913639"/>
      <w:bookmarkStart w:id="75" w:name="_Toc73913821"/>
      <w:bookmarkStart w:id="76" w:name="_Toc73955255"/>
      <w:r w:rsidRPr="00375931">
        <w:rPr>
          <w:sz w:val="24"/>
          <w:szCs w:val="24"/>
        </w:rPr>
        <w:t xml:space="preserve">Table </w:t>
      </w:r>
      <w:r w:rsidRPr="00375931">
        <w:rPr>
          <w:sz w:val="24"/>
          <w:szCs w:val="24"/>
        </w:rPr>
        <w:fldChar w:fldCharType="begin"/>
      </w:r>
      <w:r w:rsidRPr="00375931">
        <w:rPr>
          <w:sz w:val="24"/>
          <w:szCs w:val="24"/>
        </w:rPr>
        <w:instrText xml:space="preserve"> SEQ Table \* ARABIC </w:instrText>
      </w:r>
      <w:r w:rsidRPr="00375931">
        <w:rPr>
          <w:sz w:val="24"/>
          <w:szCs w:val="24"/>
        </w:rPr>
        <w:fldChar w:fldCharType="separate"/>
      </w:r>
      <w:r>
        <w:rPr>
          <w:noProof/>
          <w:sz w:val="24"/>
          <w:szCs w:val="24"/>
        </w:rPr>
        <w:t>2</w:t>
      </w:r>
      <w:bookmarkEnd w:id="71"/>
      <w:r w:rsidRPr="00375931">
        <w:rPr>
          <w:noProof/>
          <w:sz w:val="24"/>
          <w:szCs w:val="24"/>
        </w:rPr>
        <w:fldChar w:fldCharType="end"/>
      </w:r>
      <w:r w:rsidRPr="00375931">
        <w:rPr>
          <w:sz w:val="24"/>
          <w:szCs w:val="24"/>
        </w:rPr>
        <w:t xml:space="preserve"> </w:t>
      </w:r>
      <w:bookmarkStart w:id="77" w:name="_Toc73917975"/>
    </w:p>
    <w:p w14:paraId="5A925020" w14:textId="77777777" w:rsidR="00A20A73" w:rsidRPr="00375931" w:rsidRDefault="00A20A73" w:rsidP="00A20A73">
      <w:pPr>
        <w:pStyle w:val="Caption"/>
        <w:keepNext/>
        <w:spacing w:line="480" w:lineRule="auto"/>
        <w:rPr>
          <w:b w:val="0"/>
          <w:bCs/>
          <w:i/>
          <w:iCs w:val="0"/>
          <w:sz w:val="24"/>
          <w:szCs w:val="24"/>
        </w:rPr>
      </w:pPr>
      <w:r w:rsidRPr="00375931">
        <w:rPr>
          <w:b w:val="0"/>
          <w:bCs/>
          <w:i/>
          <w:iCs w:val="0"/>
          <w:sz w:val="24"/>
          <w:szCs w:val="24"/>
        </w:rPr>
        <w:t>Stressors in InfoSec Context</w:t>
      </w:r>
      <w:bookmarkEnd w:id="72"/>
      <w:bookmarkEnd w:id="73"/>
      <w:bookmarkEnd w:id="74"/>
      <w:bookmarkEnd w:id="75"/>
      <w:bookmarkEnd w:id="76"/>
      <w:bookmarkEnd w:id="77"/>
    </w:p>
    <w:tbl>
      <w:tblPr>
        <w:tblStyle w:val="PlainTable4"/>
        <w:tblW w:w="5000" w:type="pct"/>
        <w:tblBorders>
          <w:top w:val="single" w:sz="4" w:space="0" w:color="auto"/>
          <w:bottom w:val="single" w:sz="4" w:space="0" w:color="auto"/>
        </w:tblBorders>
        <w:tblLook w:val="04A0" w:firstRow="1" w:lastRow="0" w:firstColumn="1" w:lastColumn="0" w:noHBand="0" w:noVBand="1"/>
      </w:tblPr>
      <w:tblGrid>
        <w:gridCol w:w="1441"/>
        <w:gridCol w:w="1468"/>
        <w:gridCol w:w="6451"/>
      </w:tblGrid>
      <w:tr w:rsidR="00A20A73" w:rsidRPr="00064C8B" w14:paraId="1F07525B" w14:textId="77777777" w:rsidTr="00063629">
        <w:trPr>
          <w:cnfStyle w:val="100000000000" w:firstRow="1" w:lastRow="0" w:firstColumn="0" w:lastColumn="0" w:oddVBand="0" w:evenVBand="0" w:oddHBand="0"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770" w:type="pct"/>
            <w:tcBorders>
              <w:top w:val="single" w:sz="4" w:space="0" w:color="auto"/>
              <w:bottom w:val="single" w:sz="4" w:space="0" w:color="auto"/>
              <w:right w:val="single" w:sz="4" w:space="0" w:color="auto"/>
            </w:tcBorders>
          </w:tcPr>
          <w:p w14:paraId="3A18B0D2" w14:textId="77777777" w:rsidR="00A20A73" w:rsidRPr="002B1959" w:rsidRDefault="00A20A73" w:rsidP="00063629">
            <w:pPr>
              <w:keepNext/>
              <w:spacing w:line="240" w:lineRule="auto"/>
              <w:ind w:firstLine="0"/>
              <w:rPr>
                <w:rFonts w:cs="Times New Roman"/>
                <w:b w:val="0"/>
                <w:bCs w:val="0"/>
                <w:szCs w:val="24"/>
              </w:rPr>
            </w:pPr>
            <w:r w:rsidRPr="002B1959">
              <w:rPr>
                <w:rFonts w:cs="Times New Roman"/>
                <w:b w:val="0"/>
                <w:bCs w:val="0"/>
                <w:szCs w:val="24"/>
              </w:rPr>
              <w:t>Citation</w:t>
            </w:r>
          </w:p>
        </w:tc>
        <w:tc>
          <w:tcPr>
            <w:tcW w:w="784" w:type="pct"/>
            <w:tcBorders>
              <w:top w:val="single" w:sz="4" w:space="0" w:color="auto"/>
              <w:left w:val="single" w:sz="4" w:space="0" w:color="auto"/>
              <w:bottom w:val="single" w:sz="4" w:space="0" w:color="auto"/>
              <w:right w:val="nil"/>
            </w:tcBorders>
          </w:tcPr>
          <w:p w14:paraId="60442FEB" w14:textId="77777777" w:rsidR="00A20A73" w:rsidRPr="002B1959" w:rsidRDefault="00A20A73" w:rsidP="00063629">
            <w:pPr>
              <w:keepNext/>
              <w:spacing w:line="240" w:lineRule="auto"/>
              <w:ind w:firstLine="0"/>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2B1959">
              <w:rPr>
                <w:rFonts w:cs="Times New Roman"/>
                <w:b w:val="0"/>
                <w:bCs w:val="0"/>
                <w:szCs w:val="24"/>
              </w:rPr>
              <w:t>Stressors</w:t>
            </w:r>
          </w:p>
        </w:tc>
        <w:tc>
          <w:tcPr>
            <w:tcW w:w="3446" w:type="pct"/>
            <w:tcBorders>
              <w:top w:val="single" w:sz="4" w:space="0" w:color="auto"/>
              <w:left w:val="nil"/>
              <w:bottom w:val="single" w:sz="4" w:space="0" w:color="auto"/>
            </w:tcBorders>
          </w:tcPr>
          <w:p w14:paraId="32EF3D16" w14:textId="77777777" w:rsidR="00A20A73" w:rsidRPr="002B1959" w:rsidRDefault="00A20A73" w:rsidP="00063629">
            <w:pPr>
              <w:keepNext/>
              <w:spacing w:line="240" w:lineRule="auto"/>
              <w:ind w:firstLine="0"/>
              <w:cnfStyle w:val="100000000000" w:firstRow="1" w:lastRow="0" w:firstColumn="0" w:lastColumn="0" w:oddVBand="0" w:evenVBand="0" w:oddHBand="0" w:evenHBand="0" w:firstRowFirstColumn="0" w:firstRowLastColumn="0" w:lastRowFirstColumn="0" w:lastRowLastColumn="0"/>
              <w:rPr>
                <w:rFonts w:cs="Times New Roman"/>
                <w:b w:val="0"/>
                <w:bCs w:val="0"/>
                <w:szCs w:val="24"/>
              </w:rPr>
            </w:pPr>
            <w:r w:rsidRPr="002B1959">
              <w:rPr>
                <w:rFonts w:cs="Times New Roman"/>
                <w:b w:val="0"/>
                <w:bCs w:val="0"/>
                <w:szCs w:val="24"/>
              </w:rPr>
              <w:t>Definition</w:t>
            </w:r>
          </w:p>
        </w:tc>
      </w:tr>
      <w:tr w:rsidR="00A20A73" w:rsidRPr="00064C8B" w14:paraId="5AAAE7EF" w14:textId="77777777" w:rsidTr="00063629">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770" w:type="pct"/>
            <w:vMerge w:val="restart"/>
            <w:tcBorders>
              <w:top w:val="single" w:sz="4" w:space="0" w:color="auto"/>
              <w:bottom w:val="single" w:sz="4" w:space="0" w:color="auto"/>
              <w:right w:val="single" w:sz="4" w:space="0" w:color="auto"/>
            </w:tcBorders>
          </w:tcPr>
          <w:p w14:paraId="76EF2CF8" w14:textId="77777777" w:rsidR="00A20A73" w:rsidRPr="002B1959" w:rsidRDefault="00A20A73" w:rsidP="00063629">
            <w:pPr>
              <w:keepNext/>
              <w:spacing w:line="240" w:lineRule="auto"/>
              <w:ind w:firstLine="0"/>
              <w:rPr>
                <w:rFonts w:cs="Times New Roman"/>
                <w:b w:val="0"/>
                <w:bCs w:val="0"/>
                <w:szCs w:val="24"/>
              </w:rPr>
            </w:pPr>
            <w:r w:rsidRPr="002B1959">
              <w:rPr>
                <w:rFonts w:cs="Times New Roman"/>
                <w:b w:val="0"/>
                <w:bCs w:val="0"/>
                <w:szCs w:val="24"/>
              </w:rPr>
              <w:t>D'Arcy et al. (2014)</w:t>
            </w:r>
          </w:p>
        </w:tc>
        <w:tc>
          <w:tcPr>
            <w:tcW w:w="784" w:type="pct"/>
            <w:tcBorders>
              <w:top w:val="single" w:sz="4" w:space="0" w:color="auto"/>
              <w:left w:val="single" w:sz="4" w:space="0" w:color="auto"/>
              <w:right w:val="nil"/>
            </w:tcBorders>
          </w:tcPr>
          <w:p w14:paraId="509D23F9"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SRS overload</w:t>
            </w:r>
          </w:p>
        </w:tc>
        <w:tc>
          <w:tcPr>
            <w:tcW w:w="3446" w:type="pct"/>
            <w:tcBorders>
              <w:top w:val="single" w:sz="4" w:space="0" w:color="auto"/>
              <w:left w:val="nil"/>
            </w:tcBorders>
          </w:tcPr>
          <w:p w14:paraId="3779E74B"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Situations where security requirements increase the workload for employees and create added time pressure to meet these requirements.</w:t>
            </w:r>
          </w:p>
        </w:tc>
      </w:tr>
      <w:tr w:rsidR="00A20A73" w:rsidRPr="00064C8B" w14:paraId="484240F4" w14:textId="77777777" w:rsidTr="00063629">
        <w:trPr>
          <w:trHeight w:val="759"/>
        </w:trPr>
        <w:tc>
          <w:tcPr>
            <w:cnfStyle w:val="001000000000" w:firstRow="0" w:lastRow="0" w:firstColumn="1" w:lastColumn="0" w:oddVBand="0" w:evenVBand="0" w:oddHBand="0" w:evenHBand="0" w:firstRowFirstColumn="0" w:firstRowLastColumn="0" w:lastRowFirstColumn="0" w:lastRowLastColumn="0"/>
            <w:tcW w:w="770" w:type="pct"/>
            <w:vMerge/>
            <w:tcBorders>
              <w:top w:val="nil"/>
              <w:bottom w:val="single" w:sz="4" w:space="0" w:color="auto"/>
              <w:right w:val="single" w:sz="4" w:space="0" w:color="auto"/>
            </w:tcBorders>
          </w:tcPr>
          <w:p w14:paraId="6990A4CC" w14:textId="77777777" w:rsidR="00A20A73" w:rsidRPr="002B1959" w:rsidRDefault="00A20A73" w:rsidP="00063629">
            <w:pPr>
              <w:keepNext/>
              <w:spacing w:line="240" w:lineRule="auto"/>
              <w:ind w:firstLine="0"/>
              <w:rPr>
                <w:rFonts w:cs="Times New Roman"/>
                <w:b w:val="0"/>
                <w:bCs w:val="0"/>
                <w:szCs w:val="24"/>
              </w:rPr>
            </w:pPr>
          </w:p>
        </w:tc>
        <w:tc>
          <w:tcPr>
            <w:tcW w:w="784" w:type="pct"/>
            <w:tcBorders>
              <w:left w:val="single" w:sz="4" w:space="0" w:color="auto"/>
              <w:right w:val="nil"/>
            </w:tcBorders>
          </w:tcPr>
          <w:p w14:paraId="6D0F124E"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SRS complexity</w:t>
            </w:r>
          </w:p>
        </w:tc>
        <w:tc>
          <w:tcPr>
            <w:tcW w:w="3446" w:type="pct"/>
            <w:tcBorders>
              <w:left w:val="nil"/>
            </w:tcBorders>
          </w:tcPr>
          <w:p w14:paraId="763E1F43"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Situations where security requirements are perceived as complex, forcing employees to spend more time and effort in learning and understanding security.</w:t>
            </w:r>
          </w:p>
        </w:tc>
      </w:tr>
      <w:tr w:rsidR="00A20A73" w:rsidRPr="00064C8B" w14:paraId="74478463" w14:textId="77777777" w:rsidTr="00063629">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770" w:type="pct"/>
            <w:vMerge/>
            <w:tcBorders>
              <w:top w:val="nil"/>
              <w:bottom w:val="single" w:sz="4" w:space="0" w:color="auto"/>
              <w:right w:val="single" w:sz="4" w:space="0" w:color="auto"/>
            </w:tcBorders>
          </w:tcPr>
          <w:p w14:paraId="30C2B4F9" w14:textId="77777777" w:rsidR="00A20A73" w:rsidRPr="002B1959" w:rsidRDefault="00A20A73" w:rsidP="00063629">
            <w:pPr>
              <w:keepNext/>
              <w:spacing w:line="240" w:lineRule="auto"/>
              <w:ind w:firstLine="0"/>
              <w:rPr>
                <w:rFonts w:cs="Times New Roman"/>
                <w:b w:val="0"/>
                <w:bCs w:val="0"/>
                <w:szCs w:val="24"/>
              </w:rPr>
            </w:pPr>
          </w:p>
        </w:tc>
        <w:tc>
          <w:tcPr>
            <w:tcW w:w="784" w:type="pct"/>
            <w:tcBorders>
              <w:left w:val="single" w:sz="4" w:space="0" w:color="auto"/>
              <w:right w:val="nil"/>
            </w:tcBorders>
          </w:tcPr>
          <w:p w14:paraId="38A57040"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SRS uncertainty</w:t>
            </w:r>
          </w:p>
        </w:tc>
        <w:tc>
          <w:tcPr>
            <w:tcW w:w="3446" w:type="pct"/>
            <w:tcBorders>
              <w:left w:val="nil"/>
            </w:tcBorders>
          </w:tcPr>
          <w:p w14:paraId="3DD01F24"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Situations where organizations continually update job-related security requirements.</w:t>
            </w:r>
          </w:p>
        </w:tc>
      </w:tr>
      <w:tr w:rsidR="00A20A73" w:rsidRPr="00064C8B" w14:paraId="57DFF97E" w14:textId="77777777" w:rsidTr="00063629">
        <w:trPr>
          <w:trHeight w:val="759"/>
        </w:trPr>
        <w:tc>
          <w:tcPr>
            <w:cnfStyle w:val="001000000000" w:firstRow="0" w:lastRow="0" w:firstColumn="1" w:lastColumn="0" w:oddVBand="0" w:evenVBand="0" w:oddHBand="0" w:evenHBand="0" w:firstRowFirstColumn="0" w:firstRowLastColumn="0" w:lastRowFirstColumn="0" w:lastRowLastColumn="0"/>
            <w:tcW w:w="770" w:type="pct"/>
            <w:vMerge/>
            <w:tcBorders>
              <w:top w:val="nil"/>
              <w:bottom w:val="nil"/>
              <w:right w:val="single" w:sz="4" w:space="0" w:color="auto"/>
            </w:tcBorders>
          </w:tcPr>
          <w:p w14:paraId="76AEC1C6" w14:textId="77777777" w:rsidR="00A20A73" w:rsidRPr="002B1959" w:rsidRDefault="00A20A73" w:rsidP="00063629">
            <w:pPr>
              <w:keepNext/>
              <w:spacing w:line="240" w:lineRule="auto"/>
              <w:ind w:firstLine="0"/>
              <w:rPr>
                <w:rFonts w:cs="Times New Roman"/>
                <w:b w:val="0"/>
                <w:bCs w:val="0"/>
                <w:szCs w:val="24"/>
              </w:rPr>
            </w:pPr>
          </w:p>
        </w:tc>
        <w:tc>
          <w:tcPr>
            <w:tcW w:w="784" w:type="pct"/>
            <w:tcBorders>
              <w:left w:val="single" w:sz="4" w:space="0" w:color="auto"/>
              <w:bottom w:val="nil"/>
              <w:right w:val="nil"/>
            </w:tcBorders>
          </w:tcPr>
          <w:p w14:paraId="294CB3DB"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Privacy Invasion</w:t>
            </w:r>
          </w:p>
        </w:tc>
        <w:tc>
          <w:tcPr>
            <w:tcW w:w="3446" w:type="pct"/>
            <w:tcBorders>
              <w:left w:val="nil"/>
            </w:tcBorders>
          </w:tcPr>
          <w:p w14:paraId="7E9C93D3"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The invasion of employee privacy focuses on behavioral monitoring and tracking employee’s information security behavior.</w:t>
            </w:r>
          </w:p>
        </w:tc>
      </w:tr>
      <w:tr w:rsidR="00A20A73" w:rsidRPr="00064C8B" w14:paraId="3540C3ED" w14:textId="77777777" w:rsidTr="00063629">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770" w:type="pct"/>
            <w:vMerge w:val="restart"/>
            <w:tcBorders>
              <w:top w:val="nil"/>
              <w:bottom w:val="nil"/>
              <w:right w:val="single" w:sz="4" w:space="0" w:color="auto"/>
            </w:tcBorders>
          </w:tcPr>
          <w:p w14:paraId="467329B8" w14:textId="77777777" w:rsidR="00A20A73" w:rsidRPr="002B1959" w:rsidRDefault="00A20A73" w:rsidP="00063629">
            <w:pPr>
              <w:keepNext/>
              <w:spacing w:line="240" w:lineRule="auto"/>
              <w:ind w:firstLine="0"/>
              <w:rPr>
                <w:rFonts w:cs="Times New Roman"/>
                <w:b w:val="0"/>
                <w:bCs w:val="0"/>
                <w:szCs w:val="24"/>
              </w:rPr>
            </w:pPr>
            <w:r w:rsidRPr="002B1959">
              <w:rPr>
                <w:rFonts w:cs="Times New Roman"/>
                <w:b w:val="0"/>
                <w:bCs w:val="0"/>
                <w:szCs w:val="24"/>
              </w:rPr>
              <w:t>Stressors added to SRS by</w:t>
            </w:r>
          </w:p>
          <w:p w14:paraId="4B14549B" w14:textId="77777777" w:rsidR="00A20A73" w:rsidRPr="002B1959" w:rsidRDefault="00A20A73" w:rsidP="00063629">
            <w:pPr>
              <w:keepNext/>
              <w:spacing w:line="240" w:lineRule="auto"/>
              <w:ind w:firstLine="0"/>
              <w:rPr>
                <w:rFonts w:cs="Times New Roman"/>
                <w:b w:val="0"/>
                <w:bCs w:val="0"/>
                <w:szCs w:val="24"/>
              </w:rPr>
            </w:pPr>
            <w:r w:rsidRPr="002B1959">
              <w:rPr>
                <w:rFonts w:cs="Times New Roman"/>
                <w:b w:val="0"/>
                <w:bCs w:val="0"/>
                <w:szCs w:val="24"/>
              </w:rPr>
              <w:t>Ament and Haag (2016a)</w:t>
            </w:r>
          </w:p>
        </w:tc>
        <w:tc>
          <w:tcPr>
            <w:tcW w:w="784" w:type="pct"/>
            <w:tcBorders>
              <w:top w:val="nil"/>
              <w:left w:val="single" w:sz="4" w:space="0" w:color="auto"/>
              <w:bottom w:val="nil"/>
              <w:right w:val="nil"/>
            </w:tcBorders>
          </w:tcPr>
          <w:p w14:paraId="65FE9333"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Conflict</w:t>
            </w:r>
          </w:p>
        </w:tc>
        <w:tc>
          <w:tcPr>
            <w:tcW w:w="3446" w:type="pct"/>
            <w:tcBorders>
              <w:left w:val="nil"/>
            </w:tcBorders>
          </w:tcPr>
          <w:p w14:paraId="72620402"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Conflict arises when workplace instructions of supervisors or peers are not in line with established information security requirements.</w:t>
            </w:r>
          </w:p>
        </w:tc>
      </w:tr>
      <w:tr w:rsidR="00A20A73" w:rsidRPr="00064C8B" w14:paraId="18FF89F8" w14:textId="77777777" w:rsidTr="00063629">
        <w:trPr>
          <w:trHeight w:val="759"/>
        </w:trPr>
        <w:tc>
          <w:tcPr>
            <w:cnfStyle w:val="001000000000" w:firstRow="0" w:lastRow="0" w:firstColumn="1" w:lastColumn="0" w:oddVBand="0" w:evenVBand="0" w:oddHBand="0" w:evenHBand="0" w:firstRowFirstColumn="0" w:firstRowLastColumn="0" w:lastRowFirstColumn="0" w:lastRowLastColumn="0"/>
            <w:tcW w:w="770" w:type="pct"/>
            <w:vMerge/>
            <w:tcBorders>
              <w:top w:val="nil"/>
              <w:bottom w:val="nil"/>
              <w:right w:val="single" w:sz="4" w:space="0" w:color="auto"/>
            </w:tcBorders>
          </w:tcPr>
          <w:p w14:paraId="10A9370A" w14:textId="77777777" w:rsidR="00A20A73" w:rsidRPr="002B1959" w:rsidRDefault="00A20A73" w:rsidP="00063629">
            <w:pPr>
              <w:keepNext/>
              <w:spacing w:line="240" w:lineRule="auto"/>
              <w:ind w:firstLine="0"/>
              <w:rPr>
                <w:rFonts w:cs="Times New Roman"/>
                <w:b w:val="0"/>
                <w:bCs w:val="0"/>
                <w:szCs w:val="24"/>
              </w:rPr>
            </w:pPr>
          </w:p>
        </w:tc>
        <w:tc>
          <w:tcPr>
            <w:tcW w:w="784" w:type="pct"/>
            <w:tcBorders>
              <w:top w:val="nil"/>
              <w:left w:val="single" w:sz="4" w:space="0" w:color="auto"/>
              <w:bottom w:val="nil"/>
              <w:right w:val="nil"/>
            </w:tcBorders>
          </w:tcPr>
          <w:p w14:paraId="46B1293D"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News</w:t>
            </w:r>
          </w:p>
        </w:tc>
        <w:tc>
          <w:tcPr>
            <w:tcW w:w="3446" w:type="pct"/>
            <w:tcBorders>
              <w:left w:val="nil"/>
            </w:tcBorders>
          </w:tcPr>
          <w:p w14:paraId="1587E241"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Stress is caused by news related to security, such as security breaches, misuse of sensitive data, and persuasive communication such as fear appeals.</w:t>
            </w:r>
          </w:p>
        </w:tc>
      </w:tr>
      <w:tr w:rsidR="00A20A73" w:rsidRPr="00064C8B" w14:paraId="0CDE7EF2" w14:textId="77777777" w:rsidTr="00063629">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770" w:type="pct"/>
            <w:vMerge w:val="restart"/>
            <w:tcBorders>
              <w:top w:val="nil"/>
              <w:bottom w:val="single" w:sz="4" w:space="0" w:color="auto"/>
              <w:right w:val="single" w:sz="4" w:space="0" w:color="auto"/>
            </w:tcBorders>
          </w:tcPr>
          <w:p w14:paraId="1E5CA4F8" w14:textId="77777777" w:rsidR="00A20A73" w:rsidRPr="002B1959" w:rsidRDefault="00A20A73" w:rsidP="00063629">
            <w:pPr>
              <w:keepNext/>
              <w:spacing w:line="240" w:lineRule="auto"/>
              <w:ind w:firstLine="0"/>
              <w:rPr>
                <w:rFonts w:cs="Times New Roman"/>
                <w:b w:val="0"/>
                <w:bCs w:val="0"/>
                <w:szCs w:val="24"/>
              </w:rPr>
            </w:pPr>
            <w:r w:rsidRPr="002B1959">
              <w:rPr>
                <w:rFonts w:cs="Times New Roman"/>
                <w:b w:val="0"/>
                <w:bCs w:val="0"/>
                <w:noProof/>
                <w:szCs w:val="24"/>
              </w:rPr>
              <w:t>Lee et al. (2016)</w:t>
            </w:r>
          </w:p>
        </w:tc>
        <w:tc>
          <w:tcPr>
            <w:tcW w:w="784" w:type="pct"/>
            <w:tcBorders>
              <w:top w:val="nil"/>
              <w:left w:val="single" w:sz="4" w:space="0" w:color="auto"/>
              <w:right w:val="nil"/>
            </w:tcBorders>
          </w:tcPr>
          <w:p w14:paraId="63318892"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Invasion of privacy</w:t>
            </w:r>
          </w:p>
        </w:tc>
        <w:tc>
          <w:tcPr>
            <w:tcW w:w="3446" w:type="pct"/>
            <w:tcBorders>
              <w:left w:val="nil"/>
            </w:tcBorders>
          </w:tcPr>
          <w:p w14:paraId="7E513801" w14:textId="77777777" w:rsidR="00A20A73" w:rsidRPr="002B1959" w:rsidRDefault="00A20A73" w:rsidP="00063629">
            <w:pPr>
              <w:keepNext/>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rPr>
            </w:pPr>
            <w:r w:rsidRPr="002B1959">
              <w:rPr>
                <w:rFonts w:cs="Times New Roman"/>
                <w:szCs w:val="24"/>
              </w:rPr>
              <w:t>The perception that an individual’s privacy is breached because their use of ICT’s can be monitored for information security purposes.</w:t>
            </w:r>
          </w:p>
        </w:tc>
      </w:tr>
      <w:tr w:rsidR="00A20A73" w:rsidRPr="00064C8B" w14:paraId="7AAA2EEB" w14:textId="77777777" w:rsidTr="00063629">
        <w:trPr>
          <w:trHeight w:val="759"/>
        </w:trPr>
        <w:tc>
          <w:tcPr>
            <w:cnfStyle w:val="001000000000" w:firstRow="0" w:lastRow="0" w:firstColumn="1" w:lastColumn="0" w:oddVBand="0" w:evenVBand="0" w:oddHBand="0" w:evenHBand="0" w:firstRowFirstColumn="0" w:firstRowLastColumn="0" w:lastRowFirstColumn="0" w:lastRowLastColumn="0"/>
            <w:tcW w:w="770" w:type="pct"/>
            <w:vMerge/>
            <w:tcBorders>
              <w:top w:val="nil"/>
              <w:bottom w:val="single" w:sz="4" w:space="0" w:color="auto"/>
              <w:right w:val="single" w:sz="4" w:space="0" w:color="auto"/>
            </w:tcBorders>
          </w:tcPr>
          <w:p w14:paraId="4EB8B1B3" w14:textId="77777777" w:rsidR="00A20A73" w:rsidRPr="002B1959" w:rsidRDefault="00A20A73" w:rsidP="00063629">
            <w:pPr>
              <w:keepNext/>
              <w:spacing w:line="240" w:lineRule="auto"/>
              <w:ind w:firstLine="0"/>
              <w:rPr>
                <w:rFonts w:cs="Times New Roman"/>
                <w:szCs w:val="24"/>
              </w:rPr>
            </w:pPr>
          </w:p>
        </w:tc>
        <w:tc>
          <w:tcPr>
            <w:tcW w:w="784" w:type="pct"/>
            <w:tcBorders>
              <w:left w:val="single" w:sz="4" w:space="0" w:color="auto"/>
              <w:bottom w:val="single" w:sz="4" w:space="0" w:color="auto"/>
              <w:right w:val="nil"/>
            </w:tcBorders>
          </w:tcPr>
          <w:p w14:paraId="1E860B2D"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Work overload</w:t>
            </w:r>
          </w:p>
        </w:tc>
        <w:tc>
          <w:tcPr>
            <w:tcW w:w="3446" w:type="pct"/>
            <w:tcBorders>
              <w:left w:val="nil"/>
            </w:tcBorders>
          </w:tcPr>
          <w:p w14:paraId="17678D73" w14:textId="77777777" w:rsidR="00A20A73" w:rsidRPr="002B1959" w:rsidRDefault="00A20A73" w:rsidP="00063629">
            <w:pPr>
              <w:keepNext/>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rPr>
            </w:pPr>
            <w:r w:rsidRPr="002B1959">
              <w:rPr>
                <w:rFonts w:cs="Times New Roman"/>
                <w:szCs w:val="24"/>
              </w:rPr>
              <w:t>Perception of work overload caused by the organization’s security activities.</w:t>
            </w:r>
          </w:p>
        </w:tc>
      </w:tr>
    </w:tbl>
    <w:p w14:paraId="05F71FBF" w14:textId="77777777" w:rsidR="00A20A73" w:rsidRDefault="00A20A73" w:rsidP="003E5B95">
      <w:pPr>
        <w:spacing w:before="240"/>
        <w:rPr>
          <w:rFonts w:cs="Times New Roman"/>
          <w:color w:val="222222"/>
          <w:szCs w:val="24"/>
          <w:shd w:val="clear" w:color="auto" w:fill="FFFFFF"/>
        </w:rPr>
      </w:pPr>
    </w:p>
    <w:p w14:paraId="470CB50D" w14:textId="43F415DA" w:rsidR="003E5B95" w:rsidRPr="00E12CFD" w:rsidRDefault="003E5B95" w:rsidP="003E5B95">
      <w:pPr>
        <w:spacing w:before="240"/>
        <w:rPr>
          <w:rFonts w:cs="Times New Roman"/>
          <w:szCs w:val="24"/>
        </w:rPr>
      </w:pPr>
      <w:r w:rsidRPr="00E12CFD">
        <w:rPr>
          <w:rFonts w:cs="Times New Roman"/>
          <w:color w:val="222222"/>
          <w:szCs w:val="24"/>
          <w:shd w:val="clear" w:color="auto" w:fill="FFFFFF"/>
        </w:rPr>
        <w:lastRenderedPageBreak/>
        <w:t>We define information security demands (hereafter referred to as security demands) as the demands imposed by an organization’s information security requirements in the form of policies, procedures, technical</w:t>
      </w:r>
      <w:r w:rsidR="00C00C95">
        <w:rPr>
          <w:rFonts w:cs="Times New Roman"/>
          <w:color w:val="222222"/>
          <w:szCs w:val="24"/>
          <w:shd w:val="clear" w:color="auto" w:fill="FFFFFF"/>
        </w:rPr>
        <w:t xml:space="preserve"> </w:t>
      </w:r>
      <w:r w:rsidRPr="00E12CFD">
        <w:rPr>
          <w:rFonts w:cs="Times New Roman"/>
          <w:color w:val="222222"/>
          <w:szCs w:val="24"/>
          <w:shd w:val="clear" w:color="auto" w:fill="FFFFFF"/>
        </w:rPr>
        <w:t xml:space="preserve">and behavioral controls. These security demands can be internal because of an organization’s security requirements or external </w:t>
      </w:r>
      <w:r w:rsidRPr="00E12CFD">
        <w:rPr>
          <w:rFonts w:cs="Times New Roman"/>
          <w:szCs w:val="24"/>
        </w:rPr>
        <w:t xml:space="preserve">because of government or industry mandates </w:t>
      </w:r>
      <w:r>
        <w:rPr>
          <w:rFonts w:cs="Times New Roman"/>
          <w:noProof/>
          <w:szCs w:val="24"/>
        </w:rPr>
        <w:t>(Ament &amp; Haag, 2016a; D'Arcy et al., 2014; Lee et al., 2016)</w:t>
      </w:r>
      <w:r w:rsidRPr="00E12CFD">
        <w:rPr>
          <w:rFonts w:cs="Times New Roman"/>
          <w:szCs w:val="24"/>
        </w:rPr>
        <w:t>.</w:t>
      </w:r>
      <w:r w:rsidRPr="00E12CFD">
        <w:rPr>
          <w:rFonts w:cs="Times New Roman"/>
          <w:color w:val="222222"/>
          <w:szCs w:val="24"/>
          <w:shd w:val="clear" w:color="auto" w:fill="FFFFFF"/>
        </w:rPr>
        <w:t xml:space="preserve"> Security demands are primarily psychological in nature. As a result of an organization’s security demands, employees need to perform </w:t>
      </w:r>
      <w:r w:rsidRPr="00E12CFD">
        <w:rPr>
          <w:rFonts w:cs="Times New Roman"/>
          <w:szCs w:val="24"/>
        </w:rPr>
        <w:t xml:space="preserve">tasks and procedures such as assessing security policies and acquiring the training, skills, and knowledge about security procedures to comply with changing security requirements </w:t>
      </w:r>
      <w:r>
        <w:rPr>
          <w:rFonts w:cs="Times New Roman"/>
          <w:noProof/>
          <w:szCs w:val="24"/>
        </w:rPr>
        <w:t>(Pham et al., 2016; Pham, 2019)</w:t>
      </w:r>
      <w:r w:rsidRPr="00E12CFD">
        <w:rPr>
          <w:rFonts w:cs="Times New Roman"/>
          <w:szCs w:val="24"/>
        </w:rPr>
        <w:t xml:space="preserve">. Security demands cause physical, cognitive, and emotional overload among those who are tasked with attending to them </w:t>
      </w:r>
      <w:r>
        <w:rPr>
          <w:rFonts w:cs="Times New Roman"/>
          <w:noProof/>
          <w:szCs w:val="24"/>
        </w:rPr>
        <w:t>(D'Arcy et al., 2014; D’Arcy et al., 2018)</w:t>
      </w:r>
      <w:r w:rsidRPr="00E12CFD">
        <w:rPr>
          <w:rFonts w:cs="Times New Roman"/>
          <w:szCs w:val="24"/>
        </w:rPr>
        <w:t xml:space="preserve">. </w:t>
      </w:r>
    </w:p>
    <w:p w14:paraId="4D8A9341" w14:textId="77777777" w:rsidR="003E5B95" w:rsidRPr="00E12CFD" w:rsidRDefault="003E5B95" w:rsidP="003E5B95">
      <w:pPr>
        <w:pStyle w:val="Heading2"/>
      </w:pPr>
      <w:bookmarkStart w:id="78" w:name="_Toc73602046"/>
      <w:bookmarkStart w:id="79" w:name="_Toc74045215"/>
      <w:bookmarkStart w:id="80" w:name="_Toc74087500"/>
      <w:bookmarkStart w:id="81" w:name="_Toc74258616"/>
      <w:r w:rsidRPr="00E12CFD">
        <w:rPr>
          <w:shd w:val="clear" w:color="auto" w:fill="FFFFFF"/>
        </w:rPr>
        <w:t>Appraisal</w:t>
      </w:r>
      <w:bookmarkEnd w:id="78"/>
      <w:bookmarkEnd w:id="79"/>
      <w:bookmarkEnd w:id="80"/>
      <w:bookmarkEnd w:id="81"/>
    </w:p>
    <w:p w14:paraId="58401528"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As stated earlier, demands are neutral, so the mere presence of a demand is not enough to induce stress unless it goes through psychological processing—or cognitive appraisal—which results in the positive or negative evaluation of a demand </w:t>
      </w:r>
      <w:r>
        <w:rPr>
          <w:rFonts w:cs="Times New Roman"/>
          <w:noProof/>
          <w:color w:val="222222"/>
          <w:szCs w:val="24"/>
          <w:shd w:val="clear" w:color="auto" w:fill="FFFFFF"/>
        </w:rPr>
        <w:t>(Simmons &amp; Nelson, 2007)</w:t>
      </w:r>
      <w:r w:rsidRPr="00E12CFD">
        <w:rPr>
          <w:rFonts w:cs="Times New Roman"/>
          <w:color w:val="222222"/>
          <w:szCs w:val="24"/>
          <w:shd w:val="clear" w:color="auto" w:fill="FFFFFF"/>
        </w:rPr>
        <w:t xml:space="preserve">. The cognitive appraisal process is central to psychological theories of stress, such as the transactional theory of stress. </w:t>
      </w:r>
      <w:r w:rsidRPr="00E12CFD">
        <w:rPr>
          <w:rFonts w:cs="Times New Roman"/>
          <w:color w:val="222222"/>
          <w:szCs w:val="24"/>
          <w:u w:val="single"/>
          <w:shd w:val="clear" w:color="auto" w:fill="FFFFFF"/>
        </w:rPr>
        <w:t xml:space="preserve">An appraisal process refers to an individual’s categorization and evaluation of demand regarding the appraiser’s well-being </w:t>
      </w:r>
      <w:r>
        <w:rPr>
          <w:rFonts w:cs="Times New Roman"/>
          <w:noProof/>
          <w:color w:val="222222"/>
          <w:szCs w:val="24"/>
          <w:u w:val="single"/>
          <w:shd w:val="clear" w:color="auto" w:fill="FFFFFF"/>
        </w:rPr>
        <w:t>(Lazarus &amp; Folkman, 1984; Lazarus &amp; Folkman, 1987)</w:t>
      </w:r>
      <w:r w:rsidRPr="00E12CFD">
        <w:rPr>
          <w:rFonts w:cs="Times New Roman"/>
          <w:color w:val="222222"/>
          <w:szCs w:val="24"/>
          <w:shd w:val="clear" w:color="auto" w:fill="FFFFFF"/>
        </w:rPr>
        <w:t xml:space="preserve">. </w:t>
      </w:r>
    </w:p>
    <w:p w14:paraId="2D7872A1" w14:textId="77777777"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A demand is positively appraised if it tends to support/enhance the appraiser’s personal well-being and accomplishment of job tasks. A positive demand appraisal is also known as challenge appraisal, with the outcome being coined as a positive stressor or challenge stressor </w:t>
      </w:r>
      <w:r>
        <w:rPr>
          <w:rFonts w:cs="Times New Roman"/>
          <w:noProof/>
          <w:color w:val="222222"/>
          <w:szCs w:val="24"/>
          <w:shd w:val="clear" w:color="auto" w:fill="FFFFFF"/>
        </w:rPr>
        <w:t>(Califf et al., 2020; Hargrove et al., 2015; Hargrove et al., 2013; LePine et al., 2016)</w:t>
      </w:r>
      <w:r w:rsidRPr="00E12CFD">
        <w:rPr>
          <w:rFonts w:cs="Times New Roman"/>
          <w:color w:val="222222"/>
          <w:szCs w:val="24"/>
          <w:shd w:val="clear" w:color="auto" w:fill="FFFFFF"/>
        </w:rPr>
        <w:t xml:space="preserve">. On the other hand, if a </w:t>
      </w:r>
      <w:r w:rsidRPr="00E12CFD">
        <w:rPr>
          <w:rFonts w:cs="Times New Roman"/>
          <w:color w:val="222222"/>
          <w:szCs w:val="24"/>
          <w:shd w:val="clear" w:color="auto" w:fill="FFFFFF"/>
        </w:rPr>
        <w:lastRenderedPageBreak/>
        <w:t xml:space="preserve">demand hinders the accomplishments of a job task and personal well-being, its appraisal is referred to as a negative appraisal or hindrance appraisal process. The outcomes of this appraisal are referred to as a negative stressor or hindrance stressor </w:t>
      </w:r>
      <w:r>
        <w:rPr>
          <w:rFonts w:cs="Times New Roman"/>
          <w:noProof/>
          <w:color w:val="222222"/>
          <w:szCs w:val="24"/>
          <w:shd w:val="clear" w:color="auto" w:fill="FFFFFF"/>
        </w:rPr>
        <w:t>(Califf et al., 2020; Hargrove et al., 2015; Hargrove et al., 2013)</w:t>
      </w:r>
      <w:r w:rsidRPr="00E12CFD">
        <w:rPr>
          <w:rFonts w:cs="Times New Roman"/>
          <w:color w:val="222222"/>
          <w:szCs w:val="24"/>
          <w:shd w:val="clear" w:color="auto" w:fill="FFFFFF"/>
        </w:rPr>
        <w:t xml:space="preserve">. </w:t>
      </w:r>
    </w:p>
    <w:p w14:paraId="00D24ED4" w14:textId="43C51B19"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Demand appraisals are core to the theories that aim to explain what happens during a stress process, such as </w:t>
      </w:r>
      <w:r>
        <w:rPr>
          <w:rFonts w:cs="Times New Roman"/>
          <w:color w:val="222222"/>
          <w:szCs w:val="24"/>
          <w:shd w:val="clear" w:color="auto" w:fill="FFFFFF"/>
        </w:rPr>
        <w:t xml:space="preserve">the </w:t>
      </w:r>
      <w:r w:rsidRPr="00E12CFD">
        <w:rPr>
          <w:rFonts w:cs="Times New Roman"/>
          <w:color w:val="222222"/>
          <w:szCs w:val="24"/>
          <w:shd w:val="clear" w:color="auto" w:fill="FFFFFF"/>
        </w:rPr>
        <w:t xml:space="preserve">transactional theory of stress </w:t>
      </w:r>
      <w:r>
        <w:rPr>
          <w:rFonts w:cs="Times New Roman"/>
          <w:noProof/>
          <w:color w:val="222222"/>
          <w:szCs w:val="24"/>
          <w:shd w:val="clear" w:color="auto" w:fill="FFFFFF"/>
        </w:rPr>
        <w:t>(Lazarus &amp; Folkman, 1987)</w:t>
      </w:r>
      <w:r w:rsidRPr="00E12CFD">
        <w:rPr>
          <w:rFonts w:cs="Times New Roman"/>
          <w:color w:val="222222"/>
          <w:szCs w:val="24"/>
          <w:shd w:val="clear" w:color="auto" w:fill="FFFFFF"/>
        </w:rPr>
        <w:t xml:space="preserve"> and cybernetic theory </w:t>
      </w:r>
      <w:r>
        <w:rPr>
          <w:rFonts w:cs="Times New Roman"/>
          <w:noProof/>
          <w:color w:val="222222"/>
          <w:szCs w:val="24"/>
          <w:shd w:val="clear" w:color="auto" w:fill="FFFFFF"/>
        </w:rPr>
        <w:t>(Edwards, 1992)</w:t>
      </w:r>
      <w:r w:rsidRPr="00E12CFD">
        <w:rPr>
          <w:rFonts w:cs="Times New Roman"/>
          <w:color w:val="222222"/>
          <w:szCs w:val="24"/>
          <w:shd w:val="clear" w:color="auto" w:fill="FFFFFF"/>
        </w:rPr>
        <w:t>. However, a demand appraisal is an implicit process in theories seeking to explain the relationship between stressful situations and strains theories, such as person–environment fit theory and the job demands</w:t>
      </w:r>
      <w:r w:rsidR="00C00C95">
        <w:rPr>
          <w:rFonts w:cs="Times New Roman"/>
          <w:color w:val="222222"/>
          <w:szCs w:val="24"/>
          <w:shd w:val="clear" w:color="auto" w:fill="FFFFFF"/>
        </w:rPr>
        <w:t>-</w:t>
      </w:r>
      <w:r w:rsidRPr="00E12CFD">
        <w:rPr>
          <w:rFonts w:cs="Times New Roman"/>
          <w:color w:val="222222"/>
          <w:szCs w:val="24"/>
          <w:shd w:val="clear" w:color="auto" w:fill="FFFFFF"/>
        </w:rPr>
        <w:t xml:space="preserve">resources model </w:t>
      </w:r>
      <w:r>
        <w:rPr>
          <w:rFonts w:cs="Times New Roman"/>
          <w:noProof/>
          <w:color w:val="222222"/>
          <w:szCs w:val="24"/>
          <w:shd w:val="clear" w:color="auto" w:fill="FFFFFF"/>
        </w:rPr>
        <w:t>(Sonnentag &amp; Frese, 2003)</w:t>
      </w:r>
      <w:r w:rsidRPr="00E12CFD">
        <w:rPr>
          <w:rFonts w:cs="Times New Roman"/>
          <w:color w:val="222222"/>
          <w:szCs w:val="24"/>
          <w:shd w:val="clear" w:color="auto" w:fill="FFFFFF"/>
        </w:rPr>
        <w:t>. In our review, we find that these theories have been used in IS to shed light on the demand appraisal process. These theories use slightly different terms to describe the appraisal process, but the essence of each is that once encountered with a demand</w:t>
      </w:r>
      <w:r w:rsidR="00C00C95">
        <w:rPr>
          <w:rFonts w:cs="Times New Roman"/>
          <w:color w:val="222222"/>
          <w:szCs w:val="24"/>
          <w:shd w:val="clear" w:color="auto" w:fill="FFFFFF"/>
        </w:rPr>
        <w:t xml:space="preserve">; </w:t>
      </w:r>
      <w:r w:rsidRPr="00E12CFD">
        <w:rPr>
          <w:rFonts w:cs="Times New Roman"/>
          <w:color w:val="222222"/>
          <w:szCs w:val="24"/>
          <w:shd w:val="clear" w:color="auto" w:fill="FFFFFF"/>
        </w:rPr>
        <w:t xml:space="preserve">an individual performs a cognitive assessment of it. </w:t>
      </w:r>
    </w:p>
    <w:p w14:paraId="1F26C14E" w14:textId="1B94CECB"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The transactional theory of stress suggests that individuals engage in primary and secondary appraisal processes </w:t>
      </w:r>
      <w:r>
        <w:rPr>
          <w:rFonts w:cs="Times New Roman"/>
          <w:noProof/>
          <w:color w:val="222222"/>
          <w:szCs w:val="24"/>
          <w:shd w:val="clear" w:color="auto" w:fill="FFFFFF"/>
        </w:rPr>
        <w:t>(Lazarus &amp; Folkman, 1987)</w:t>
      </w:r>
      <w:r w:rsidRPr="00E12CFD">
        <w:rPr>
          <w:rFonts w:cs="Times New Roman"/>
          <w:color w:val="222222"/>
          <w:szCs w:val="24"/>
          <w:shd w:val="clear" w:color="auto" w:fill="FFFFFF"/>
        </w:rPr>
        <w:t xml:space="preserve">. During the primary appraisal of a demand, an individual considers the demand </w:t>
      </w:r>
      <w:r w:rsidR="00C00C95">
        <w:rPr>
          <w:rFonts w:cs="Times New Roman"/>
          <w:color w:val="222222"/>
          <w:szCs w:val="24"/>
          <w:shd w:val="clear" w:color="auto" w:fill="FFFFFF"/>
        </w:rPr>
        <w:t>regarding</w:t>
      </w:r>
      <w:r w:rsidRPr="00E12CFD">
        <w:rPr>
          <w:rFonts w:cs="Times New Roman"/>
          <w:color w:val="222222"/>
          <w:szCs w:val="24"/>
          <w:shd w:val="clear" w:color="auto" w:fill="FFFFFF"/>
        </w:rPr>
        <w:t xml:space="preserve"> its relevance to his/her well-being and whether it presents a challenge or opportunity to improve his/her well-being or if it is seen as a hindrance or threat that is detrimental to his/her well-being. In other words, during the primary appraisal, an individual determines the motivational relevance of the demand </w:t>
      </w:r>
      <w:r>
        <w:rPr>
          <w:rFonts w:cs="Times New Roman"/>
          <w:noProof/>
          <w:color w:val="222222"/>
          <w:szCs w:val="24"/>
          <w:shd w:val="clear" w:color="auto" w:fill="FFFFFF"/>
        </w:rPr>
        <w:t>(Galluch et al., 2015; Lazarus &amp; Folkman, 1987)</w:t>
      </w:r>
      <w:r w:rsidRPr="00E12CFD">
        <w:rPr>
          <w:rFonts w:cs="Times New Roman"/>
          <w:color w:val="222222"/>
          <w:szCs w:val="24"/>
          <w:shd w:val="clear" w:color="auto" w:fill="FFFFFF"/>
        </w:rPr>
        <w:t xml:space="preserve">. During the secondary appraisal, an individual assesses the level of control s/he has over the demand and available coping (adaptation) choices relative to the resources available to deal with the demand </w:t>
      </w:r>
      <w:r>
        <w:rPr>
          <w:rFonts w:cs="Times New Roman"/>
          <w:noProof/>
          <w:color w:val="222222"/>
          <w:szCs w:val="24"/>
          <w:shd w:val="clear" w:color="auto" w:fill="FFFFFF"/>
        </w:rPr>
        <w:t xml:space="preserve">(Beaudry &amp; Pinsonneault, 2005; Galluch et al., 2015; Lazarus &amp; </w:t>
      </w:r>
      <w:r>
        <w:rPr>
          <w:rFonts w:cs="Times New Roman"/>
          <w:noProof/>
          <w:color w:val="222222"/>
          <w:szCs w:val="24"/>
          <w:shd w:val="clear" w:color="auto" w:fill="FFFFFF"/>
        </w:rPr>
        <w:lastRenderedPageBreak/>
        <w:t>Folkman, 1987)</w:t>
      </w:r>
      <w:r w:rsidRPr="00E12CFD">
        <w:rPr>
          <w:rFonts w:cs="Times New Roman"/>
          <w:color w:val="222222"/>
          <w:szCs w:val="24"/>
          <w:shd w:val="clear" w:color="auto" w:fill="FFFFFF"/>
        </w:rPr>
        <w:t>. Alternatively, if the individual considers the demand irrelevant in the primary appraisal, the secondary appraisal is not needed.</w:t>
      </w:r>
    </w:p>
    <w:p w14:paraId="2CD2A036" w14:textId="41682AF1"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Our review finds that the transaction perspective provides a base for the conceptualization of technostress creators ICT-related factors that are considered threatening, demanding, or pose as demands that exceed an individual’s resources to deal with them </w:t>
      </w:r>
      <w:r>
        <w:rPr>
          <w:rFonts w:cs="Times New Roman"/>
          <w:noProof/>
          <w:color w:val="222222"/>
          <w:szCs w:val="24"/>
          <w:shd w:val="clear" w:color="auto" w:fill="FFFFFF"/>
        </w:rPr>
        <w:t>(Pirkkalainen et al., 2019)</w:t>
      </w:r>
      <w:r w:rsidRPr="00E12CFD">
        <w:rPr>
          <w:rFonts w:cs="Times New Roman"/>
          <w:color w:val="222222"/>
          <w:szCs w:val="24"/>
          <w:shd w:val="clear" w:color="auto" w:fill="FFFFFF"/>
        </w:rPr>
        <w:t xml:space="preserve">. Similarly, SRS is positioned as a negative stressor, and it is a result of the primary and secondary appraisal process </w:t>
      </w:r>
      <w:r>
        <w:rPr>
          <w:rFonts w:cs="Times New Roman"/>
          <w:noProof/>
          <w:color w:val="222222"/>
          <w:szCs w:val="24"/>
          <w:shd w:val="clear" w:color="auto" w:fill="FFFFFF"/>
        </w:rPr>
        <w:t>(Ament &amp; Haag, 2016a, 2016b; D'Arcy et al., 2014; D'Arcy et al., 2018)</w:t>
      </w:r>
      <w:r w:rsidRPr="00E12CFD">
        <w:rPr>
          <w:rFonts w:cs="Times New Roman"/>
          <w:color w:val="222222"/>
          <w:szCs w:val="24"/>
          <w:shd w:val="clear" w:color="auto" w:fill="FFFFFF"/>
        </w:rPr>
        <w:t xml:space="preserve">. Overall, SRS is considered a hindrance stressor, arising when employees appraise InfoSec requirements as an obstacle to their primary job tasks and react to them with frustration and fatigue </w:t>
      </w:r>
      <w:r>
        <w:rPr>
          <w:rFonts w:cs="Times New Roman"/>
          <w:noProof/>
          <w:color w:val="222222"/>
          <w:szCs w:val="24"/>
          <w:shd w:val="clear" w:color="auto" w:fill="FFFFFF"/>
        </w:rPr>
        <w:t>(D’Arcy &amp; Teh, 2019)</w:t>
      </w:r>
      <w:r w:rsidRPr="00E12CFD">
        <w:rPr>
          <w:rFonts w:cs="Times New Roman"/>
          <w:color w:val="222222"/>
          <w:szCs w:val="24"/>
          <w:shd w:val="clear" w:color="auto" w:fill="FFFFFF"/>
        </w:rPr>
        <w:t xml:space="preserve">. In the InfoSec context, during the primary appraisal of an IT security event, an individual determines how dangerous an IT security threat is; that is, an evaluation is made in terms of how severe the threat is. During </w:t>
      </w:r>
      <w:r>
        <w:rPr>
          <w:rFonts w:cs="Times New Roman"/>
          <w:color w:val="222222"/>
          <w:szCs w:val="24"/>
          <w:shd w:val="clear" w:color="auto" w:fill="FFFFFF"/>
        </w:rPr>
        <w:t xml:space="preserve">the </w:t>
      </w:r>
      <w:r w:rsidRPr="00E12CFD">
        <w:rPr>
          <w:rFonts w:cs="Times New Roman"/>
          <w:color w:val="222222"/>
          <w:szCs w:val="24"/>
          <w:shd w:val="clear" w:color="auto" w:fill="FFFFFF"/>
        </w:rPr>
        <w:t xml:space="preserve">secondary appraisal, a determination is made in terms of how to avoid the security threat, that is, the perceived </w:t>
      </w:r>
      <w:proofErr w:type="spellStart"/>
      <w:r w:rsidRPr="00E12CFD">
        <w:rPr>
          <w:rFonts w:cs="Times New Roman"/>
          <w:color w:val="222222"/>
          <w:szCs w:val="24"/>
          <w:shd w:val="clear" w:color="auto" w:fill="FFFFFF"/>
        </w:rPr>
        <w:t>avoidability</w:t>
      </w:r>
      <w:proofErr w:type="spellEnd"/>
      <w:r w:rsidRPr="00E12CFD">
        <w:rPr>
          <w:rFonts w:cs="Times New Roman"/>
          <w:color w:val="222222"/>
          <w:szCs w:val="24"/>
          <w:shd w:val="clear" w:color="auto" w:fill="FFFFFF"/>
        </w:rPr>
        <w:t xml:space="preserve"> of the IT security threat </w:t>
      </w:r>
      <w:r>
        <w:rPr>
          <w:rFonts w:cs="Times New Roman"/>
          <w:noProof/>
          <w:color w:val="222222"/>
          <w:szCs w:val="24"/>
          <w:shd w:val="clear" w:color="auto" w:fill="FFFFFF"/>
        </w:rPr>
        <w:t>(Liang et al., 2019)</w:t>
      </w:r>
      <w:r w:rsidRPr="00E12CFD">
        <w:rPr>
          <w:rFonts w:cs="Times New Roman"/>
          <w:color w:val="222222"/>
          <w:szCs w:val="24"/>
          <w:shd w:val="clear" w:color="auto" w:fill="FFFFFF"/>
        </w:rPr>
        <w:t>.</w:t>
      </w:r>
    </w:p>
    <w:p w14:paraId="2758F28D" w14:textId="77777777" w:rsidR="003E5B95" w:rsidRPr="00E12CFD" w:rsidRDefault="003E5B95" w:rsidP="003E5B95">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Similarly, cybernetic theory explains that demands are appraised in terms of their ability to serve as discrepancy-reducing or discrepancy-enhancing mechanisms </w:t>
      </w:r>
      <w:r>
        <w:rPr>
          <w:rFonts w:cs="Times New Roman"/>
          <w:noProof/>
          <w:color w:val="222222"/>
          <w:szCs w:val="24"/>
          <w:shd w:val="clear" w:color="auto" w:fill="FFFFFF"/>
        </w:rPr>
        <w:t>(Edwards, 1992; Stich et al., 2019a)</w:t>
      </w:r>
      <w:r w:rsidRPr="00E12CFD">
        <w:rPr>
          <w:rFonts w:cs="Times New Roman"/>
          <w:color w:val="222222"/>
          <w:szCs w:val="24"/>
          <w:shd w:val="clear" w:color="auto" w:fill="FFFFFF"/>
        </w:rPr>
        <w:t xml:space="preserve">. For example, a cybersecurity professional receiving more security alerts than s/he desires to deal with may attempt to shut down the alert system or ignore the alerts. In this situation, this professional is attempting to distance him/herself from the source of stress, and this is known as a discrepancy-enhancing mechanism. However, in a similar situation, if the cybersecurity professional attempts to troubleshoot the cause of the alerts, then s/he is attempting to reduce the discrepancy between the desired and current state of the demand, which is known as a discrepancy-reducing mechanism </w:t>
      </w:r>
      <w:r>
        <w:rPr>
          <w:rFonts w:cs="Times New Roman"/>
          <w:noProof/>
          <w:color w:val="222222"/>
          <w:szCs w:val="24"/>
          <w:shd w:val="clear" w:color="auto" w:fill="FFFFFF"/>
        </w:rPr>
        <w:t>(Liang &amp; Xue, 2009)</w:t>
      </w:r>
      <w:r w:rsidRPr="00E12CFD">
        <w:rPr>
          <w:rFonts w:cs="Times New Roman"/>
          <w:color w:val="222222"/>
          <w:szCs w:val="24"/>
          <w:shd w:val="clear" w:color="auto" w:fill="FFFFFF"/>
        </w:rPr>
        <w:t xml:space="preserve">. Hence, when a cybersecurity </w:t>
      </w:r>
      <w:r w:rsidRPr="00E12CFD">
        <w:rPr>
          <w:rFonts w:cs="Times New Roman"/>
          <w:color w:val="222222"/>
          <w:szCs w:val="24"/>
          <w:shd w:val="clear" w:color="auto" w:fill="FFFFFF"/>
        </w:rPr>
        <w:lastRenderedPageBreak/>
        <w:t xml:space="preserve">professional engages in the discrepancy-enhancing mechanism, it means the imposed demand has been deemed to be a negative stressor. </w:t>
      </w:r>
    </w:p>
    <w:p w14:paraId="1B7C02D7" w14:textId="315132C3" w:rsidR="003E5B95" w:rsidRPr="0090311C" w:rsidRDefault="003E5B95" w:rsidP="0090311C">
      <w:pPr>
        <w:spacing w:before="240"/>
        <w:rPr>
          <w:rFonts w:cs="Times New Roman"/>
          <w:color w:val="222222"/>
          <w:szCs w:val="24"/>
          <w:shd w:val="clear" w:color="auto" w:fill="FFFFFF"/>
        </w:rPr>
      </w:pPr>
      <w:r w:rsidRPr="00E12CFD">
        <w:rPr>
          <w:rFonts w:cs="Times New Roman"/>
          <w:color w:val="222222"/>
          <w:szCs w:val="24"/>
          <w:shd w:val="clear" w:color="auto" w:fill="FFFFFF"/>
        </w:rPr>
        <w:t xml:space="preserve">An alternative perspective on demand appraisals is offered by </w:t>
      </w:r>
      <w:r>
        <w:rPr>
          <w:rFonts w:cs="Times New Roman"/>
          <w:color w:val="222222"/>
          <w:szCs w:val="24"/>
          <w:shd w:val="clear" w:color="auto" w:fill="FFFFFF"/>
        </w:rPr>
        <w:t xml:space="preserve">the </w:t>
      </w:r>
      <w:r w:rsidRPr="00E12CFD">
        <w:rPr>
          <w:rFonts w:cs="Times New Roman"/>
          <w:color w:val="222222"/>
          <w:szCs w:val="24"/>
          <w:shd w:val="clear" w:color="auto" w:fill="FFFFFF"/>
        </w:rPr>
        <w:t xml:space="preserve">P-E fit theory </w:t>
      </w:r>
      <w:r>
        <w:rPr>
          <w:rFonts w:cs="Times New Roman"/>
          <w:noProof/>
          <w:color w:val="222222"/>
          <w:szCs w:val="24"/>
          <w:shd w:val="clear" w:color="auto" w:fill="FFFFFF"/>
        </w:rPr>
        <w:t>(Edwards &amp; Cooper, 1990)</w:t>
      </w:r>
      <w:r w:rsidRPr="00E12CFD">
        <w:rPr>
          <w:rFonts w:cs="Times New Roman"/>
          <w:color w:val="222222"/>
          <w:szCs w:val="24"/>
          <w:shd w:val="clear" w:color="auto" w:fill="FFFFFF"/>
        </w:rPr>
        <w:t xml:space="preserve">. P-E fit theory contends that people are in equilibrium with their environment; however, once this equilibrium is disturbed, people become stressed. The state of disturbance or imbalance between a person and his/her environment is referred to as a misfit </w:t>
      </w:r>
      <w:r>
        <w:rPr>
          <w:rFonts w:cs="Times New Roman"/>
          <w:noProof/>
          <w:color w:val="222222"/>
          <w:szCs w:val="24"/>
          <w:shd w:val="clear" w:color="auto" w:fill="FFFFFF"/>
        </w:rPr>
        <w:t>(Edwards, 1996; Edwards &amp; Cooper, 1990)</w:t>
      </w:r>
      <w:r w:rsidRPr="00E12CFD">
        <w:rPr>
          <w:rFonts w:cs="Times New Roman"/>
          <w:color w:val="222222"/>
          <w:szCs w:val="24"/>
          <w:shd w:val="clear" w:color="auto" w:fill="FFFFFF"/>
        </w:rPr>
        <w:t xml:space="preserve">, and this assessment of a misfit is based on a subjective evaluation of one’s environment and the demands it presents </w:t>
      </w:r>
      <w:r>
        <w:rPr>
          <w:rFonts w:cs="Times New Roman"/>
          <w:noProof/>
          <w:color w:val="222222"/>
          <w:szCs w:val="24"/>
          <w:shd w:val="clear" w:color="auto" w:fill="FFFFFF"/>
        </w:rPr>
        <w:t>(Ayyagari et al., 2011; Chilton et al., 2005; Lee et al., 2016; LeRouge et al., 2006; Stich et al., 2019b; Wang et al., 2020)</w:t>
      </w:r>
      <w:r w:rsidRPr="00E12CFD">
        <w:rPr>
          <w:rFonts w:cs="Times New Roman"/>
          <w:color w:val="222222"/>
          <w:szCs w:val="24"/>
          <w:shd w:val="clear" w:color="auto" w:fill="FFFFFF"/>
        </w:rPr>
        <w:t xml:space="preserve">. Based on the context in which these demands are presented, the idea of fit can also vary. For example, person–technology fit (P-T fit) considers a technological environment and the technology-related demands </w:t>
      </w:r>
      <w:r>
        <w:rPr>
          <w:rFonts w:cs="Times New Roman"/>
          <w:noProof/>
          <w:color w:val="222222"/>
          <w:szCs w:val="24"/>
          <w:shd w:val="clear" w:color="auto" w:fill="FFFFFF"/>
        </w:rPr>
        <w:t>(Ayyagari et al., 2011)</w:t>
      </w:r>
      <w:r w:rsidRPr="00E12CFD">
        <w:rPr>
          <w:rFonts w:cs="Times New Roman"/>
          <w:color w:val="222222"/>
          <w:szCs w:val="24"/>
          <w:shd w:val="clear" w:color="auto" w:fill="FFFFFF"/>
        </w:rPr>
        <w:t xml:space="preserve">, whereas person–organization fit (P-O fit) concentrates on a fit between an employee and his/her organization </w:t>
      </w:r>
      <w:r>
        <w:rPr>
          <w:rFonts w:cs="Times New Roman"/>
          <w:noProof/>
          <w:color w:val="222222"/>
          <w:szCs w:val="24"/>
          <w:shd w:val="clear" w:color="auto" w:fill="FFFFFF"/>
        </w:rPr>
        <w:t>(Lee et al., 2016)</w:t>
      </w:r>
      <w:r w:rsidRPr="00E12CFD">
        <w:rPr>
          <w:rFonts w:cs="Times New Roman"/>
          <w:color w:val="222222"/>
          <w:szCs w:val="24"/>
          <w:shd w:val="clear" w:color="auto" w:fill="FFFFFF"/>
        </w:rPr>
        <w:t xml:space="preserve">. In a technology-enhanced learning environment (TEL), fit can be assessed in terms of P-O technostress, person–TEL technostress, or person–people (P–P) technostress </w:t>
      </w:r>
      <w:r>
        <w:rPr>
          <w:rFonts w:cs="Times New Roman"/>
          <w:noProof/>
          <w:color w:val="222222"/>
          <w:szCs w:val="24"/>
          <w:shd w:val="clear" w:color="auto" w:fill="FFFFFF"/>
        </w:rPr>
        <w:t>(Wang et al., 2020)</w:t>
      </w:r>
      <w:r w:rsidRPr="00E12CFD">
        <w:rPr>
          <w:rFonts w:cs="Times New Roman"/>
          <w:color w:val="222222"/>
          <w:szCs w:val="24"/>
          <w:shd w:val="clear" w:color="auto" w:fill="FFFFFF"/>
        </w:rPr>
        <w:t xml:space="preserve">. Other forms of fit studied in IS research </w:t>
      </w:r>
      <w:r>
        <w:rPr>
          <w:rFonts w:cs="Times New Roman"/>
          <w:color w:val="222222"/>
          <w:szCs w:val="24"/>
          <w:shd w:val="clear" w:color="auto" w:fill="FFFFFF"/>
        </w:rPr>
        <w:t>is</w:t>
      </w:r>
      <w:r w:rsidRPr="00E12CFD">
        <w:rPr>
          <w:rFonts w:cs="Times New Roman"/>
          <w:color w:val="222222"/>
          <w:szCs w:val="24"/>
          <w:shd w:val="clear" w:color="auto" w:fill="FFFFFF"/>
        </w:rPr>
        <w:t xml:space="preserve"> role stress fit, that is, the fit between preferred and perceived role stress </w:t>
      </w:r>
      <w:r>
        <w:rPr>
          <w:rFonts w:cs="Times New Roman"/>
          <w:noProof/>
          <w:color w:val="222222"/>
          <w:szCs w:val="24"/>
          <w:shd w:val="clear" w:color="auto" w:fill="FFFFFF"/>
        </w:rPr>
        <w:t>(LeRouge et al., 2006)</w:t>
      </w:r>
      <w:r w:rsidRPr="00E12CFD">
        <w:rPr>
          <w:rFonts w:cs="Times New Roman"/>
          <w:color w:val="222222"/>
          <w:szCs w:val="24"/>
          <w:shd w:val="clear" w:color="auto" w:fill="FFFFFF"/>
        </w:rPr>
        <w:t xml:space="preserve">, and email fit, that is, the fit between an individual’s current and desired email use </w:t>
      </w:r>
      <w:r>
        <w:rPr>
          <w:rFonts w:cs="Times New Roman"/>
          <w:noProof/>
          <w:color w:val="222222"/>
          <w:szCs w:val="24"/>
          <w:shd w:val="clear" w:color="auto" w:fill="FFFFFF"/>
        </w:rPr>
        <w:t>(Stich et al., 2019b)</w:t>
      </w:r>
      <w:r w:rsidRPr="00E12CFD">
        <w:rPr>
          <w:rFonts w:cs="Times New Roman"/>
          <w:color w:val="222222"/>
          <w:szCs w:val="24"/>
          <w:shd w:val="clear" w:color="auto" w:fill="FFFFFF"/>
        </w:rPr>
        <w:t xml:space="preserve">. Overall, the idea here is that a subjective evaluation in terms of a misfit, disturbance, or imbalance is associated with a negative demand appraisal. </w:t>
      </w:r>
    </w:p>
    <w:p w14:paraId="029DD6F6" w14:textId="77777777" w:rsidR="003E5B95" w:rsidRPr="00E12CFD" w:rsidRDefault="003E5B95" w:rsidP="001520D2">
      <w:pPr>
        <w:pStyle w:val="Heading2"/>
        <w:spacing w:before="240"/>
      </w:pPr>
      <w:bookmarkStart w:id="82" w:name="_Toc73602047"/>
      <w:bookmarkStart w:id="83" w:name="_Toc74045216"/>
      <w:bookmarkStart w:id="84" w:name="_Toc74087501"/>
      <w:bookmarkStart w:id="85" w:name="_Toc74258617"/>
      <w:r w:rsidRPr="00E12CFD">
        <w:t>Stress Response</w:t>
      </w:r>
      <w:bookmarkEnd w:id="82"/>
      <w:bookmarkEnd w:id="83"/>
      <w:bookmarkEnd w:id="84"/>
      <w:bookmarkEnd w:id="85"/>
    </w:p>
    <w:p w14:paraId="7C4C5ECD"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u w:val="single"/>
          <w:shd w:val="clear" w:color="auto" w:fill="FFFFFF"/>
        </w:rPr>
        <w:t>Stress responses are the physical and psychological responses to challenge and/or hindrance stressors that result from demand appraisals;</w:t>
      </w:r>
      <w:r w:rsidRPr="00E12CFD">
        <w:rPr>
          <w:rFonts w:cs="Times New Roman"/>
          <w:color w:val="222222"/>
          <w:szCs w:val="24"/>
          <w:shd w:val="clear" w:color="auto" w:fill="FFFFFF"/>
        </w:rPr>
        <w:t xml:space="preserve"> they are relative to the mental and emotional state of an individual </w:t>
      </w:r>
      <w:r>
        <w:rPr>
          <w:rFonts w:cs="Times New Roman"/>
          <w:noProof/>
          <w:color w:val="222222"/>
          <w:szCs w:val="24"/>
          <w:shd w:val="clear" w:color="auto" w:fill="FFFFFF"/>
        </w:rPr>
        <w:t>(Cooper et al., 2001)</w:t>
      </w:r>
      <w:r w:rsidRPr="00E12CFD">
        <w:rPr>
          <w:rFonts w:cs="Times New Roman"/>
          <w:color w:val="222222"/>
          <w:szCs w:val="24"/>
          <w:shd w:val="clear" w:color="auto" w:fill="FFFFFF"/>
        </w:rPr>
        <w:t xml:space="preserve">. Emotions, coping, and stress are conceptually intertwined. </w:t>
      </w:r>
      <w:r w:rsidRPr="00E12CFD">
        <w:rPr>
          <w:rFonts w:cs="Times New Roman"/>
          <w:color w:val="222222"/>
          <w:szCs w:val="24"/>
          <w:shd w:val="clear" w:color="auto" w:fill="FFFFFF"/>
        </w:rPr>
        <w:lastRenderedPageBreak/>
        <w:t xml:space="preserve">However, emotions provide predictions of specific stress responses in relation to demand appraisal </w:t>
      </w:r>
      <w:r>
        <w:rPr>
          <w:rFonts w:cs="Times New Roman"/>
          <w:noProof/>
          <w:color w:val="222222"/>
          <w:szCs w:val="24"/>
          <w:shd w:val="clear" w:color="auto" w:fill="FFFFFF"/>
        </w:rPr>
        <w:t>(Beaudry &amp; Pinsonneault, 2010; Lazarus &amp; Cohen-Charash, 2001; Lazarus &amp; Folkman, 1984)</w:t>
      </w:r>
      <w:r w:rsidRPr="00E12CFD">
        <w:rPr>
          <w:rFonts w:cs="Times New Roman"/>
          <w:color w:val="222222"/>
          <w:szCs w:val="24"/>
          <w:shd w:val="clear" w:color="auto" w:fill="FFFFFF"/>
        </w:rPr>
        <w:t xml:space="preserve">. Although for any given demand, both positive and negative stress responses can occur </w:t>
      </w:r>
      <w:r>
        <w:rPr>
          <w:rFonts w:cs="Times New Roman"/>
          <w:noProof/>
          <w:color w:val="222222"/>
          <w:szCs w:val="24"/>
          <w:shd w:val="clear" w:color="auto" w:fill="FFFFFF"/>
        </w:rPr>
        <w:t>(Califf et al., 2020)</w:t>
      </w:r>
      <w:r w:rsidRPr="00E12CFD">
        <w:rPr>
          <w:rFonts w:cs="Times New Roman"/>
          <w:color w:val="222222"/>
          <w:szCs w:val="24"/>
          <w:shd w:val="clear" w:color="auto" w:fill="FFFFFF"/>
        </w:rPr>
        <w:t xml:space="preserve">, our review findings reveal that the primary focus of stress research has been on negative stress responses </w:t>
      </w:r>
      <w:r>
        <w:rPr>
          <w:rFonts w:cs="Times New Roman"/>
          <w:noProof/>
          <w:color w:val="222222"/>
          <w:szCs w:val="24"/>
          <w:shd w:val="clear" w:color="auto" w:fill="FFFFFF"/>
        </w:rPr>
        <w:t>(Tarafdar et al., 2017)</w:t>
      </w:r>
      <w:r w:rsidRPr="00E12CFD">
        <w:rPr>
          <w:rFonts w:cs="Times New Roman"/>
          <w:color w:val="222222"/>
          <w:szCs w:val="24"/>
          <w:shd w:val="clear" w:color="auto" w:fill="FFFFFF"/>
        </w:rPr>
        <w:t xml:space="preserve">. Further, in this context, one of the dominant labels associated with stress responses in the literature is coping. </w:t>
      </w:r>
    </w:p>
    <w:p w14:paraId="18DDCA99"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Broadly defined,</w:t>
      </w:r>
      <w:r w:rsidRPr="00E12CFD">
        <w:rPr>
          <w:rFonts w:cs="Times New Roman"/>
          <w:color w:val="222222"/>
          <w:szCs w:val="24"/>
          <w:u w:val="single"/>
          <w:shd w:val="clear" w:color="auto" w:fill="FFFFFF"/>
        </w:rPr>
        <w:t xml:space="preserve"> coping is a “cognitive and behavioral process of mastering, tolerating, and reducing internal and external demands” </w:t>
      </w:r>
      <w:r>
        <w:rPr>
          <w:rFonts w:cs="Times New Roman"/>
          <w:noProof/>
          <w:color w:val="222222"/>
          <w:szCs w:val="24"/>
          <w:u w:val="single"/>
          <w:shd w:val="clear" w:color="auto" w:fill="FFFFFF"/>
        </w:rPr>
        <w:t>(Cooper et al., 2001, p. 12)</w:t>
      </w:r>
      <w:r w:rsidRPr="00E12CFD">
        <w:rPr>
          <w:rFonts w:cs="Times New Roman"/>
          <w:color w:val="222222"/>
          <w:szCs w:val="24"/>
          <w:u w:val="single"/>
          <w:shd w:val="clear" w:color="auto" w:fill="FFFFFF"/>
        </w:rPr>
        <w:t>.</w:t>
      </w:r>
      <w:r w:rsidRPr="00E12CFD">
        <w:rPr>
          <w:rFonts w:cs="Times New Roman"/>
          <w:color w:val="222222"/>
          <w:szCs w:val="24"/>
          <w:shd w:val="clear" w:color="auto" w:fill="FFFFFF"/>
        </w:rPr>
        <w:t xml:space="preserve"> By applying the term coping response, what scholars are trying to convey a physical and psychological response to a demand appraisal </w:t>
      </w:r>
      <w:r>
        <w:rPr>
          <w:rFonts w:cs="Times New Roman"/>
          <w:noProof/>
          <w:color w:val="222222"/>
          <w:szCs w:val="24"/>
          <w:shd w:val="clear" w:color="auto" w:fill="FFFFFF"/>
        </w:rPr>
        <w:t>(Beaudry &amp; Pinsonneault, 2005; D'Arcy et al., 2014; D'Arcy et al., 2018; D’Arcy &amp; Teh, 2019; Galluch et al., 2015; Lazarus &amp; Folkman, 1984; Lazarus &amp; Folkman, 1987; Liang et al., 2019; Ortiz de Guinea, 2016)</w:t>
      </w:r>
      <w:r w:rsidRPr="00E12CFD">
        <w:rPr>
          <w:rFonts w:cs="Times New Roman"/>
          <w:color w:val="222222"/>
          <w:szCs w:val="24"/>
          <w:shd w:val="clear" w:color="auto" w:fill="FFFFFF"/>
        </w:rPr>
        <w:t xml:space="preserve">. These responses can be in the form of positive stress in response to demands appraised as opportunities or challenges; this form of stress is sometimes called eustress </w:t>
      </w:r>
      <w:r>
        <w:rPr>
          <w:rFonts w:cs="Times New Roman"/>
          <w:noProof/>
          <w:color w:val="222222"/>
          <w:szCs w:val="24"/>
          <w:shd w:val="clear" w:color="auto" w:fill="FFFFFF"/>
        </w:rPr>
        <w:t>(Califf et al., 2020; Simmons &amp; Nelson, 2007)</w:t>
      </w:r>
      <w:r w:rsidRPr="00E12CFD">
        <w:rPr>
          <w:rFonts w:cs="Times New Roman"/>
          <w:color w:val="222222"/>
          <w:szCs w:val="24"/>
          <w:shd w:val="clear" w:color="auto" w:fill="FFFFFF"/>
        </w:rPr>
        <w:t xml:space="preserve">. Moreover, this form of </w:t>
      </w:r>
      <w:r>
        <w:rPr>
          <w:rFonts w:cs="Times New Roman"/>
          <w:color w:val="222222"/>
          <w:szCs w:val="24"/>
          <w:shd w:val="clear" w:color="auto" w:fill="FFFFFF"/>
        </w:rPr>
        <w:t xml:space="preserve">a </w:t>
      </w:r>
      <w:r w:rsidRPr="00E12CFD">
        <w:rPr>
          <w:rFonts w:cs="Times New Roman"/>
          <w:color w:val="222222"/>
          <w:szCs w:val="24"/>
          <w:shd w:val="clear" w:color="auto" w:fill="FFFFFF"/>
        </w:rPr>
        <w:t xml:space="preserve">stress response is also referred to as savoring </w:t>
      </w:r>
      <w:r>
        <w:rPr>
          <w:rFonts w:cs="Times New Roman"/>
          <w:noProof/>
          <w:color w:val="222222"/>
          <w:szCs w:val="24"/>
          <w:shd w:val="clear" w:color="auto" w:fill="FFFFFF"/>
        </w:rPr>
        <w:t>(Simmons &amp; Nelson, 2007)</w:t>
      </w:r>
      <w:r w:rsidRPr="00E12CFD">
        <w:rPr>
          <w:rFonts w:cs="Times New Roman"/>
          <w:color w:val="222222"/>
          <w:szCs w:val="24"/>
          <w:shd w:val="clear" w:color="auto" w:fill="FFFFFF"/>
        </w:rPr>
        <w:t xml:space="preserve">. </w:t>
      </w:r>
      <w:r w:rsidRPr="00E12CFD">
        <w:rPr>
          <w:rFonts w:cs="Times New Roman"/>
          <w:color w:val="222222"/>
          <w:szCs w:val="24"/>
          <w:u w:val="single"/>
          <w:shd w:val="clear" w:color="auto" w:fill="FFFFFF"/>
        </w:rPr>
        <w:t xml:space="preserve">Savoring is defined as one’s capacity to “attend to, appreciate and enhance positive experiences” in ones’ life </w:t>
      </w:r>
      <w:r>
        <w:rPr>
          <w:rFonts w:cs="Times New Roman"/>
          <w:noProof/>
          <w:color w:val="222222"/>
          <w:szCs w:val="24"/>
          <w:u w:val="single"/>
          <w:shd w:val="clear" w:color="auto" w:fill="FFFFFF"/>
        </w:rPr>
        <w:t>(Bryant &amp; Veroff, 2007, p. 2)</w:t>
      </w:r>
      <w:r w:rsidRPr="00E12CFD">
        <w:rPr>
          <w:rFonts w:cs="Times New Roman"/>
          <w:color w:val="222222"/>
          <w:szCs w:val="24"/>
          <w:u w:val="single"/>
          <w:shd w:val="clear" w:color="auto" w:fill="FFFFFF"/>
        </w:rPr>
        <w:t>.</w:t>
      </w:r>
      <w:r w:rsidRPr="00E12CFD">
        <w:rPr>
          <w:rFonts w:cs="Times New Roman"/>
          <w:color w:val="222222"/>
          <w:szCs w:val="24"/>
          <w:shd w:val="clear" w:color="auto" w:fill="FFFFFF"/>
        </w:rPr>
        <w:t xml:space="preserve"> Alternatively, coping responses can also be in the form of negative stress in response to demands that are appraised as threats or hindrances. This form of stress is sometimes referred to as distress </w:t>
      </w:r>
      <w:r>
        <w:rPr>
          <w:rFonts w:cs="Times New Roman"/>
          <w:noProof/>
          <w:color w:val="222222"/>
          <w:szCs w:val="24"/>
          <w:shd w:val="clear" w:color="auto" w:fill="FFFFFF"/>
        </w:rPr>
        <w:t>(Califf et al., 2020; Simmons &amp; Nelson, 2007)</w:t>
      </w:r>
      <w:r w:rsidRPr="00E12CFD">
        <w:rPr>
          <w:rFonts w:cs="Times New Roman"/>
          <w:color w:val="222222"/>
          <w:szCs w:val="24"/>
          <w:shd w:val="clear" w:color="auto" w:fill="FFFFFF"/>
        </w:rPr>
        <w:t xml:space="preserve">. Overall, certain coping responses have been shown to alleviate the inability to meet demands and promote positive outcomes, whereas others have been shown to exacerbate misfit or demand imbalances and lead to negative outcomes </w:t>
      </w:r>
      <w:r>
        <w:rPr>
          <w:rFonts w:cs="Times New Roman"/>
          <w:noProof/>
          <w:color w:val="222222"/>
          <w:szCs w:val="24"/>
          <w:shd w:val="clear" w:color="auto" w:fill="FFFFFF"/>
        </w:rPr>
        <w:t>(Lazarus &amp; Folkman, 1987)</w:t>
      </w:r>
      <w:r w:rsidRPr="00E12CFD">
        <w:rPr>
          <w:rFonts w:cs="Times New Roman"/>
          <w:color w:val="222222"/>
          <w:szCs w:val="24"/>
          <w:shd w:val="clear" w:color="auto" w:fill="FFFFFF"/>
        </w:rPr>
        <w:t xml:space="preserve">. </w:t>
      </w:r>
    </w:p>
    <w:p w14:paraId="0FB21E2F" w14:textId="01C4A05E"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lastRenderedPageBreak/>
        <w:t>Our review of the stress literature among cybersecurity professionals reveals a framework for coping responses in which responses have been classified as either problem or emotion</w:t>
      </w:r>
      <w:r>
        <w:rPr>
          <w:rFonts w:cs="Times New Roman"/>
          <w:color w:val="222222"/>
          <w:szCs w:val="24"/>
          <w:shd w:val="clear" w:color="auto" w:fill="FFFFFF"/>
        </w:rPr>
        <w:t>-</w:t>
      </w:r>
      <w:r w:rsidRPr="00E12CFD">
        <w:rPr>
          <w:rFonts w:cs="Times New Roman"/>
          <w:color w:val="222222"/>
          <w:szCs w:val="24"/>
          <w:shd w:val="clear" w:color="auto" w:fill="FFFFFF"/>
        </w:rPr>
        <w:t xml:space="preserve">focused </w:t>
      </w:r>
      <w:r>
        <w:rPr>
          <w:rFonts w:cs="Times New Roman"/>
          <w:noProof/>
          <w:color w:val="222222"/>
          <w:szCs w:val="24"/>
          <w:shd w:val="clear" w:color="auto" w:fill="FFFFFF"/>
        </w:rPr>
        <w:t>(Beaudry &amp; Pinsonneault, 2005; Lazarus &amp; Folkman, 1984; Liang et al., 2019)</w:t>
      </w:r>
      <w:r w:rsidRPr="00E12CFD">
        <w:rPr>
          <w:rFonts w:cs="Times New Roman"/>
          <w:color w:val="222222"/>
          <w:szCs w:val="24"/>
          <w:shd w:val="clear" w:color="auto" w:fill="FFFFFF"/>
        </w:rPr>
        <w:t>. Using this framework, when a demand is perceived as an opportunity (challenge), a problem-focused coping response is induced, in which the demand is elaborated on</w:t>
      </w:r>
      <w:r w:rsidR="00B62467">
        <w:rPr>
          <w:rFonts w:cs="Times New Roman"/>
          <w:color w:val="222222"/>
          <w:szCs w:val="24"/>
          <w:shd w:val="clear" w:color="auto" w:fill="FFFFFF"/>
        </w:rPr>
        <w:t xml:space="preserve"> </w:t>
      </w:r>
      <w:r w:rsidRPr="00E12CFD">
        <w:rPr>
          <w:rFonts w:cs="Times New Roman"/>
          <w:color w:val="222222"/>
          <w:szCs w:val="24"/>
          <w:shd w:val="clear" w:color="auto" w:fill="FFFFFF"/>
        </w:rPr>
        <w:t xml:space="preserve">and positive responses, such as exhilaration or focus, are formed in an effort to extend or savor the demand. For example, when a new surveillance technology is introduced, it may be seen as a challenge or opportunity by cybersecurity professionals; here, a coping response to it would likely be one such as anxiousness, elation, or increased concentration—which are responses associated with maximizing the benefits they accrue from the new technology. Other problem-focused coping responses in the context of IT security threats are adopting safeguard measures such as password updates, removal of cookies, encryption, use of antivirus software, and so forth </w:t>
      </w:r>
      <w:r>
        <w:rPr>
          <w:rFonts w:cs="Times New Roman"/>
          <w:noProof/>
          <w:color w:val="222222"/>
          <w:szCs w:val="24"/>
          <w:shd w:val="clear" w:color="auto" w:fill="FFFFFF"/>
        </w:rPr>
        <w:t>(Liang &amp; Xue, 2009)</w:t>
      </w:r>
      <w:r w:rsidRPr="00E12CFD">
        <w:rPr>
          <w:rFonts w:cs="Times New Roman"/>
          <w:color w:val="222222"/>
          <w:szCs w:val="24"/>
          <w:shd w:val="clear" w:color="auto" w:fill="FFFFFF"/>
        </w:rPr>
        <w:t xml:space="preserve">. </w:t>
      </w:r>
    </w:p>
    <w:p w14:paraId="3F3CB94E" w14:textId="63F84752"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Alternatively, when a demand is perceived as a threat (or hindrance), an emotion-focused coping response is evoked in the form of anxiety, fear, or nervousness, which is reflective of the negative stress the demand has produced </w:t>
      </w:r>
      <w:r>
        <w:rPr>
          <w:rFonts w:cs="Times New Roman"/>
          <w:noProof/>
          <w:color w:val="222222"/>
          <w:szCs w:val="24"/>
          <w:shd w:val="clear" w:color="auto" w:fill="FFFFFF"/>
        </w:rPr>
        <w:t>(Beaudry &amp; Pinsonneault, 2005; Lazarus &amp; Folkman, 1984; Liang et al., 2019)</w:t>
      </w:r>
      <w:r w:rsidRPr="00E12CFD">
        <w:rPr>
          <w:rFonts w:cs="Times New Roman"/>
          <w:color w:val="222222"/>
          <w:szCs w:val="24"/>
          <w:shd w:val="clear" w:color="auto" w:fill="FFFFFF"/>
        </w:rPr>
        <w:t>. For example, the same surveillance technology, if appraised as a hindrance, will induce a form of negative stress, such as worry, fatigue, burnout, or moral disengagement. A key differentiator of coping responses, whether problem- or emotion-focused, is that they are reactions rather than actions. Actions, which are discussed as stress response outcomes in the next section, are formed after a stress response</w:t>
      </w:r>
      <w:r w:rsidR="00B62467">
        <w:rPr>
          <w:rFonts w:cs="Times New Roman"/>
          <w:color w:val="222222"/>
          <w:szCs w:val="24"/>
          <w:shd w:val="clear" w:color="auto" w:fill="FFFFFF"/>
        </w:rPr>
        <w:t xml:space="preserve"> to</w:t>
      </w:r>
      <w:r w:rsidRPr="00E12CFD">
        <w:rPr>
          <w:rFonts w:cs="Times New Roman"/>
          <w:color w:val="222222"/>
          <w:szCs w:val="24"/>
          <w:shd w:val="clear" w:color="auto" w:fill="FFFFFF"/>
        </w:rPr>
        <w:t xml:space="preserve"> affect demand and subsequent demand appraisals. </w:t>
      </w:r>
    </w:p>
    <w:p w14:paraId="179DC313" w14:textId="01E53EBE"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lastRenderedPageBreak/>
        <w:t xml:space="preserve">Our review findings also highlight an important, albeit rarely tested, caveat in how coping responses are intertwined. Research shows that in the event of IT security threats (as security demands), people engage in both problem-focused and emotion-focused coping responses; however, as people engage in emotion-focused coping responses, it affects their problem-focused responses </w:t>
      </w:r>
      <w:r>
        <w:rPr>
          <w:rFonts w:cs="Times New Roman"/>
          <w:noProof/>
          <w:color w:val="222222"/>
          <w:szCs w:val="24"/>
          <w:shd w:val="clear" w:color="auto" w:fill="FFFFFF"/>
        </w:rPr>
        <w:t>(Liang et al., 2019)</w:t>
      </w:r>
      <w:r w:rsidRPr="00E12CFD">
        <w:rPr>
          <w:rFonts w:cs="Times New Roman"/>
          <w:color w:val="222222"/>
          <w:szCs w:val="24"/>
          <w:shd w:val="clear" w:color="auto" w:fill="FFFFFF"/>
        </w:rPr>
        <w:t xml:space="preserve">. For example, research shows that when people experience the risk of being victimized by phishing attacks, multiple coping responses may be triggered: a problem-focused coping response, such as curiosity, and emotion-focused coping responses, such as worry. These coping responses have been shown to form a higher-order construct called coping adaptiveness, which manifests in the form of increased task-focused coping and a decrease in emotion-focused coping and avoidance coping </w:t>
      </w:r>
      <w:r>
        <w:rPr>
          <w:rFonts w:cs="Times New Roman"/>
          <w:noProof/>
          <w:color w:val="222222"/>
          <w:szCs w:val="24"/>
          <w:shd w:val="clear" w:color="auto" w:fill="FFFFFF"/>
        </w:rPr>
        <w:t>(Wang et al., 2017)</w:t>
      </w:r>
      <w:r w:rsidRPr="00E12CFD">
        <w:rPr>
          <w:rFonts w:cs="Times New Roman"/>
          <w:color w:val="222222"/>
          <w:szCs w:val="24"/>
          <w:shd w:val="clear" w:color="auto" w:fill="FFFFFF"/>
        </w:rPr>
        <w:t xml:space="preserve">. Stressful circumstances affect peoples’ ability to cope </w:t>
      </w:r>
      <w:r>
        <w:rPr>
          <w:rFonts w:cs="Times New Roman"/>
          <w:noProof/>
          <w:color w:val="222222"/>
          <w:szCs w:val="24"/>
          <w:shd w:val="clear" w:color="auto" w:fill="FFFFFF"/>
        </w:rPr>
        <w:t>(Lazarus &amp; Folkman, 1984; Lazarus &amp; Folkman, 1987)</w:t>
      </w:r>
      <w:r w:rsidRPr="00E12CFD">
        <w:rPr>
          <w:rFonts w:cs="Times New Roman"/>
          <w:color w:val="222222"/>
          <w:szCs w:val="24"/>
          <w:shd w:val="clear" w:color="auto" w:fill="FFFFFF"/>
        </w:rPr>
        <w:t xml:space="preserve">. For example, one’s belief in his/her ability to identify phishing emails enhances his/her coping adaptiveness (phishing detection accuracy). However, the anxiety arising from the fear of being victimized by phishing emails decreases coping adaptiveness </w:t>
      </w:r>
      <w:r>
        <w:rPr>
          <w:rFonts w:cs="Times New Roman"/>
          <w:noProof/>
          <w:color w:val="222222"/>
          <w:szCs w:val="24"/>
          <w:shd w:val="clear" w:color="auto" w:fill="FFFFFF"/>
        </w:rPr>
        <w:t>(Wang et al., 2017)</w:t>
      </w:r>
      <w:r w:rsidRPr="00E12CFD">
        <w:rPr>
          <w:rFonts w:cs="Times New Roman"/>
          <w:color w:val="222222"/>
          <w:szCs w:val="24"/>
          <w:shd w:val="clear" w:color="auto" w:fill="FFFFFF"/>
        </w:rPr>
        <w:t xml:space="preserve">. Moral disengagement and neutralization from InfoSec policies are other forms of emotion-focused coping responses, which are a form of distress caused by negatively appraised hindrance security demands </w:t>
      </w:r>
      <w:r>
        <w:rPr>
          <w:rFonts w:cs="Times New Roman"/>
          <w:noProof/>
          <w:color w:val="222222"/>
          <w:szCs w:val="24"/>
          <w:shd w:val="clear" w:color="auto" w:fill="FFFFFF"/>
        </w:rPr>
        <w:t>(D'Arcy et al., 2014; D’Arcy &amp; Teh, 2019)</w:t>
      </w:r>
      <w:r w:rsidRPr="00E12CFD">
        <w:rPr>
          <w:rFonts w:cs="Times New Roman"/>
          <w:color w:val="222222"/>
          <w:szCs w:val="24"/>
          <w:shd w:val="clear" w:color="auto" w:fill="FFFFFF"/>
        </w:rPr>
        <w:t xml:space="preserve">. </w:t>
      </w:r>
    </w:p>
    <w:p w14:paraId="1A516C4C"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Our review findings also reveal another form of </w:t>
      </w:r>
      <w:r>
        <w:rPr>
          <w:rFonts w:cs="Times New Roman"/>
          <w:color w:val="222222"/>
          <w:szCs w:val="24"/>
          <w:shd w:val="clear" w:color="auto" w:fill="FFFFFF"/>
        </w:rPr>
        <w:t xml:space="preserve">the </w:t>
      </w:r>
      <w:r w:rsidRPr="00E12CFD">
        <w:rPr>
          <w:rFonts w:cs="Times New Roman"/>
          <w:color w:val="222222"/>
          <w:szCs w:val="24"/>
          <w:shd w:val="clear" w:color="auto" w:fill="FFFFFF"/>
        </w:rPr>
        <w:t xml:space="preserve">stress response, which has been referred to as proactive coping. When a demand is appraised as a hindrance stressor and cannot be avoided, people know they are going to face it sooner or later and proactively prepare themselves for it. This is referred to as proactive coping. The alternative to proactive coping is an emotional, reactive coping response </w:t>
      </w:r>
      <w:r>
        <w:rPr>
          <w:rFonts w:cs="Times New Roman"/>
          <w:noProof/>
          <w:color w:val="222222"/>
          <w:szCs w:val="24"/>
          <w:shd w:val="clear" w:color="auto" w:fill="FFFFFF"/>
        </w:rPr>
        <w:t>(Pirkkalainen et al., 2017; Pirkkalainen et al., 2019)</w:t>
      </w:r>
      <w:r w:rsidRPr="00E12CFD">
        <w:rPr>
          <w:rFonts w:cs="Times New Roman"/>
          <w:color w:val="222222"/>
          <w:szCs w:val="24"/>
          <w:shd w:val="clear" w:color="auto" w:fill="FFFFFF"/>
        </w:rPr>
        <w:t xml:space="preserve">. When proactively coping, people mentally prepare themselves for the stressful demand or develop resilience </w:t>
      </w:r>
      <w:r w:rsidRPr="00E12CFD">
        <w:rPr>
          <w:rFonts w:cs="Times New Roman"/>
          <w:color w:val="222222"/>
          <w:szCs w:val="24"/>
          <w:shd w:val="clear" w:color="auto" w:fill="FFFFFF"/>
        </w:rPr>
        <w:lastRenderedPageBreak/>
        <w:t xml:space="preserve">toward the demand so that their coping responses can be more positive, whereas when reactively coping, people are more likely to be distressed if the demand is negatively appraised </w:t>
      </w:r>
      <w:r>
        <w:rPr>
          <w:rFonts w:cs="Times New Roman"/>
          <w:noProof/>
          <w:color w:val="222222"/>
          <w:szCs w:val="24"/>
          <w:shd w:val="clear" w:color="auto" w:fill="FFFFFF"/>
        </w:rPr>
        <w:t>(Pirkkalainen et al., 2019)</w:t>
      </w:r>
      <w:r w:rsidRPr="00E12CFD">
        <w:rPr>
          <w:rFonts w:cs="Times New Roman"/>
          <w:color w:val="222222"/>
          <w:szCs w:val="24"/>
          <w:shd w:val="clear" w:color="auto" w:fill="FFFFFF"/>
        </w:rPr>
        <w:t xml:space="preserve">. </w:t>
      </w:r>
    </w:p>
    <w:p w14:paraId="40B46285" w14:textId="4F7900A6"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Another stress response is burnout, which is defined as a state of exhaustion</w:t>
      </w:r>
      <w:r w:rsidR="00B62467">
        <w:rPr>
          <w:rFonts w:cs="Times New Roman"/>
          <w:color w:val="222222"/>
          <w:szCs w:val="24"/>
          <w:shd w:val="clear" w:color="auto" w:fill="FFFFFF"/>
        </w:rPr>
        <w:t xml:space="preserve"> </w:t>
      </w:r>
      <w:r w:rsidRPr="00E12CFD">
        <w:rPr>
          <w:rFonts w:cs="Times New Roman"/>
          <w:color w:val="222222"/>
          <w:szCs w:val="24"/>
          <w:shd w:val="clear" w:color="auto" w:fill="FFFFFF"/>
        </w:rPr>
        <w:t xml:space="preserve">and cynicism that is typically associated with person-related demands, which has also been shown to entail decreased personal efficacy </w:t>
      </w:r>
      <w:r>
        <w:rPr>
          <w:rFonts w:cs="Times New Roman"/>
          <w:noProof/>
          <w:color w:val="222222"/>
          <w:szCs w:val="24"/>
          <w:shd w:val="clear" w:color="auto" w:fill="FFFFFF"/>
        </w:rPr>
        <w:t>(Maslach &amp; Jackson, 1981)</w:t>
      </w:r>
      <w:r w:rsidRPr="00E12CFD">
        <w:rPr>
          <w:rFonts w:cs="Times New Roman"/>
          <w:color w:val="222222"/>
          <w:szCs w:val="24"/>
          <w:shd w:val="clear" w:color="auto" w:fill="FFFFFF"/>
        </w:rPr>
        <w:t xml:space="preserve">. However, not all dimensions of burnout (exhaustion, cynicism, and personal efficacy) have received similar attention among scholars. Work exhaustion has been the most commonly investigated dimension of burnout </w:t>
      </w:r>
      <w:r>
        <w:rPr>
          <w:rFonts w:cs="Times New Roman"/>
          <w:noProof/>
          <w:color w:val="222222"/>
          <w:szCs w:val="24"/>
          <w:shd w:val="clear" w:color="auto" w:fill="FFFFFF"/>
        </w:rPr>
        <w:t>(Aghaz &amp; Sheikh, 2016; Ahuja et al., 2007; Armstrong et al., 2015; Hennington et al., 2011; Ishii &amp; Markman, 2016; Moore, 2000; Rutner et al., 2008; Salanova et al., 2000; Shih et al., 2013)</w:t>
      </w:r>
      <w:r w:rsidRPr="00E12CFD">
        <w:rPr>
          <w:rFonts w:cs="Times New Roman"/>
          <w:color w:val="222222"/>
          <w:szCs w:val="24"/>
          <w:shd w:val="clear" w:color="auto" w:fill="FFFFFF"/>
        </w:rPr>
        <w:t xml:space="preserve">. Similarly, the InfoSec context defines security compliance burnout as a contextualized form of burnout that employees experience as they attempt to comply with their organization’s InfoSec demands </w:t>
      </w:r>
      <w:r>
        <w:rPr>
          <w:rFonts w:cs="Times New Roman"/>
          <w:noProof/>
          <w:color w:val="222222"/>
          <w:szCs w:val="24"/>
          <w:shd w:val="clear" w:color="auto" w:fill="FFFFFF"/>
        </w:rPr>
        <w:t>(Pham, 2019)</w:t>
      </w:r>
      <w:r w:rsidRPr="00E12CFD">
        <w:rPr>
          <w:rFonts w:cs="Times New Roman"/>
          <w:color w:val="222222"/>
          <w:szCs w:val="24"/>
          <w:shd w:val="clear" w:color="auto" w:fill="FFFFFF"/>
        </w:rPr>
        <w:t xml:space="preserve">. </w:t>
      </w:r>
      <w:r w:rsidR="00DF5EFA" w:rsidRPr="001520D2">
        <w:rPr>
          <w:rFonts w:cs="Times New Roman"/>
          <w:szCs w:val="24"/>
        </w:rPr>
        <w:t xml:space="preserve">Work exhaustion used in </w:t>
      </w:r>
      <w:r w:rsidR="00DF5EFA">
        <w:rPr>
          <w:rFonts w:cs="Times New Roman"/>
          <w:szCs w:val="24"/>
        </w:rPr>
        <w:t>IS</w:t>
      </w:r>
      <w:r w:rsidR="00DF5EFA" w:rsidRPr="001520D2">
        <w:rPr>
          <w:rFonts w:cs="Times New Roman"/>
          <w:szCs w:val="24"/>
        </w:rPr>
        <w:t xml:space="preserve"> research is an adaptation from emotional exhaustion from Maslach’s burnout syndrome. Here burnout is defined as a syndrome of emotional exhaustion</w:t>
      </w:r>
      <w:r w:rsidR="00B62467">
        <w:rPr>
          <w:rFonts w:cs="Times New Roman"/>
          <w:szCs w:val="24"/>
        </w:rPr>
        <w:t xml:space="preserve"> </w:t>
      </w:r>
      <w:r w:rsidR="00DF5EFA" w:rsidRPr="001520D2">
        <w:rPr>
          <w:rFonts w:cs="Times New Roman"/>
          <w:szCs w:val="24"/>
        </w:rPr>
        <w:t>and cynicism (</w:t>
      </w:r>
      <w:r w:rsidR="00DF5EFA" w:rsidRPr="001520D2">
        <w:rPr>
          <w:rFonts w:cs="Times New Roman"/>
          <w:noProof/>
          <w:szCs w:val="24"/>
        </w:rPr>
        <w:t>Maslach &amp; Jackson, 1981).</w:t>
      </w:r>
    </w:p>
    <w:p w14:paraId="63346A05"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Another stress response in the same category of burnout is interruption overload. Interruption overload results from work-related interruptions, where employees receive more work-related interruptions than they can handle and appraise those interruptions as being stressful </w:t>
      </w:r>
      <w:r>
        <w:rPr>
          <w:rFonts w:cs="Times New Roman"/>
          <w:noProof/>
          <w:color w:val="222222"/>
          <w:szCs w:val="24"/>
          <w:shd w:val="clear" w:color="auto" w:fill="FFFFFF"/>
        </w:rPr>
        <w:t>(Chen &amp; Karahanna, 2018)</w:t>
      </w:r>
      <w:r w:rsidRPr="00E12CFD">
        <w:rPr>
          <w:rFonts w:cs="Times New Roman"/>
          <w:color w:val="222222"/>
          <w:szCs w:val="24"/>
          <w:shd w:val="clear" w:color="auto" w:fill="FFFFFF"/>
        </w:rPr>
        <w:t xml:space="preserve">. Research has shown that it is even possible for people to psychologically transition between work and nonwork domains and experience both work- and nonwork-related exhaustion; however, it is also possible that after-hours work interruptions can bring unfinished tasks to closure (as a stress response outcome), ultimately having a positive influence on job performance </w:t>
      </w:r>
      <w:r>
        <w:rPr>
          <w:rFonts w:cs="Times New Roman"/>
          <w:noProof/>
          <w:color w:val="222222"/>
          <w:szCs w:val="24"/>
          <w:shd w:val="clear" w:color="auto" w:fill="FFFFFF"/>
        </w:rPr>
        <w:t>(Chen &amp; Karahanna, 2018)</w:t>
      </w:r>
      <w:r w:rsidRPr="00E12CFD">
        <w:rPr>
          <w:rFonts w:cs="Times New Roman"/>
          <w:color w:val="222222"/>
          <w:szCs w:val="24"/>
          <w:shd w:val="clear" w:color="auto" w:fill="FFFFFF"/>
        </w:rPr>
        <w:t xml:space="preserve">. </w:t>
      </w:r>
    </w:p>
    <w:p w14:paraId="6CD43C9F" w14:textId="701AADDA"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lastRenderedPageBreak/>
        <w:t xml:space="preserve">Finally, our review findings reveal a form of stress response related to role stress. Role stress emerges from the appraisal of demands associated with role ambiguity, role conflict, and role overload </w:t>
      </w:r>
      <w:r>
        <w:rPr>
          <w:rFonts w:cs="Times New Roman"/>
          <w:noProof/>
          <w:color w:val="222222"/>
          <w:szCs w:val="24"/>
          <w:shd w:val="clear" w:color="auto" w:fill="FFFFFF"/>
        </w:rPr>
        <w:t>(Hwang &amp; Cha, 2018; Igbaria &amp; Guimaraes, 1993; Igbaria et al., 1994; LeRouge et al., 2006; Tarafdar et al., 2007)</w:t>
      </w:r>
      <w:r w:rsidRPr="00E12CFD">
        <w:rPr>
          <w:rFonts w:cs="Times New Roman"/>
          <w:color w:val="222222"/>
          <w:szCs w:val="24"/>
          <w:shd w:val="clear" w:color="auto" w:fill="FFFFFF"/>
        </w:rPr>
        <w:t xml:space="preserve">. The positive role stress responses that have been studied in the literature include job engagement, job satisfaction, career satisfaction, career advancement prospects (such as the likelihood of promotability), developmental prospects such as expectations regarding the job opportunities for challenging assignments, and potential for recognition </w:t>
      </w:r>
      <w:r>
        <w:rPr>
          <w:rFonts w:cs="Times New Roman"/>
          <w:noProof/>
          <w:color w:val="222222"/>
          <w:szCs w:val="24"/>
          <w:shd w:val="clear" w:color="auto" w:fill="FFFFFF"/>
        </w:rPr>
        <w:t>(Armstrong et al., 2015; Califf et al., 2020; Igbaria &amp; Guimaraes, 1993; Igbaria et al., 1994; LeRouge et al., 2006; Shropshire &amp; Kadlec, 2012; Srivastava et al., 2015)</w:t>
      </w:r>
      <w:r w:rsidRPr="00E12CFD">
        <w:rPr>
          <w:rFonts w:cs="Times New Roman"/>
          <w:color w:val="222222"/>
          <w:szCs w:val="24"/>
          <w:shd w:val="clear" w:color="auto" w:fill="FFFFFF"/>
        </w:rPr>
        <w:t xml:space="preserve">. </w:t>
      </w:r>
    </w:p>
    <w:p w14:paraId="252694CD" w14:textId="77777777" w:rsidR="003E5B95" w:rsidRPr="00E12CFD" w:rsidRDefault="003E5B95" w:rsidP="003E5B95">
      <w:pPr>
        <w:pStyle w:val="Heading2"/>
        <w:rPr>
          <w:shd w:val="clear" w:color="auto" w:fill="FFFFFF"/>
        </w:rPr>
      </w:pPr>
      <w:bookmarkStart w:id="86" w:name="_Toc73602048"/>
      <w:bookmarkStart w:id="87" w:name="_Toc74045217"/>
      <w:bookmarkStart w:id="88" w:name="_Toc74087502"/>
      <w:bookmarkStart w:id="89" w:name="_Toc74258618"/>
      <w:r w:rsidRPr="00E12CFD">
        <w:rPr>
          <w:shd w:val="clear" w:color="auto" w:fill="FFFFFF"/>
        </w:rPr>
        <w:t>Stress-</w:t>
      </w:r>
      <w:r>
        <w:rPr>
          <w:shd w:val="clear" w:color="auto" w:fill="FFFFFF"/>
        </w:rPr>
        <w:t>R</w:t>
      </w:r>
      <w:r w:rsidRPr="00E12CFD">
        <w:rPr>
          <w:shd w:val="clear" w:color="auto" w:fill="FFFFFF"/>
        </w:rPr>
        <w:t>elated Outcomes</w:t>
      </w:r>
      <w:bookmarkEnd w:id="86"/>
      <w:bookmarkEnd w:id="87"/>
      <w:bookmarkEnd w:id="88"/>
      <w:bookmarkEnd w:id="89"/>
    </w:p>
    <w:p w14:paraId="54274BD2" w14:textId="0BBD2F02" w:rsidR="003E5B95" w:rsidRPr="00E12CFD" w:rsidRDefault="003E5B95" w:rsidP="003E5B95">
      <w:pPr>
        <w:rPr>
          <w:rFonts w:cs="Times New Roman"/>
          <w:color w:val="222222"/>
          <w:szCs w:val="24"/>
          <w:shd w:val="clear" w:color="auto" w:fill="FFFFFF"/>
        </w:rPr>
      </w:pPr>
      <w:r w:rsidRPr="00E12CFD">
        <w:rPr>
          <w:rFonts w:cs="Times New Roman"/>
          <w:color w:val="222222"/>
          <w:szCs w:val="24"/>
          <w:u w:val="single"/>
          <w:shd w:val="clear" w:color="auto" w:fill="FFFFFF"/>
        </w:rPr>
        <w:t>Stress-related outcomes are behavioral and physiological, such as a change in heart rate, lack of sleep, depression, fatigue, etc.)</w:t>
      </w:r>
      <w:r w:rsidRPr="00E12CFD">
        <w:rPr>
          <w:rFonts w:cs="Times New Roman"/>
          <w:color w:val="222222"/>
          <w:szCs w:val="24"/>
          <w:shd w:val="clear" w:color="auto" w:fill="FFFFFF"/>
        </w:rPr>
        <w:t xml:space="preserve">. However, in this review, we primarily focus on behavioral outcomes. Behavioral outcomes are actions such as job performance, productivity, or even job turnover </w:t>
      </w:r>
      <w:r>
        <w:rPr>
          <w:rFonts w:cs="Times New Roman"/>
          <w:noProof/>
          <w:color w:val="222222"/>
          <w:szCs w:val="24"/>
          <w:shd w:val="clear" w:color="auto" w:fill="FFFFFF"/>
        </w:rPr>
        <w:t>(Tarafdar et al., 2007; Zhao et al., 2020)</w:t>
      </w:r>
      <w:r w:rsidRPr="00E12CFD">
        <w:rPr>
          <w:rFonts w:cs="Times New Roman"/>
          <w:color w:val="222222"/>
          <w:szCs w:val="24"/>
          <w:shd w:val="clear" w:color="auto" w:fill="FFFFFF"/>
        </w:rPr>
        <w:t xml:space="preserve">. Our review of the stress literature reveals that (negatively) stressed employees have a low willingness to use technology or are less willing to adopt new technology for the sake of improving performance </w:t>
      </w:r>
      <w:r>
        <w:rPr>
          <w:rFonts w:cs="Times New Roman"/>
          <w:noProof/>
          <w:color w:val="222222"/>
          <w:szCs w:val="24"/>
          <w:shd w:val="clear" w:color="auto" w:fill="FFFFFF"/>
        </w:rPr>
        <w:t>(Bhattacherjee et al., 2018)</w:t>
      </w:r>
      <w:r w:rsidRPr="00E12CFD">
        <w:rPr>
          <w:rFonts w:cs="Times New Roman"/>
          <w:color w:val="222222"/>
          <w:szCs w:val="24"/>
          <w:shd w:val="clear" w:color="auto" w:fill="FFFFFF"/>
        </w:rPr>
        <w:t xml:space="preserve">. When stressed, they demonstrate an unwillingness to extend the use of available technological solutions </w:t>
      </w:r>
      <w:r>
        <w:rPr>
          <w:rFonts w:cs="Times New Roman"/>
          <w:noProof/>
          <w:color w:val="222222"/>
          <w:szCs w:val="24"/>
          <w:shd w:val="clear" w:color="auto" w:fill="FFFFFF"/>
        </w:rPr>
        <w:t>(Beaudry &amp; Pinsonneault, 2010; Fadel, 2012; Fuglseth &amp; Sørebø, 2014)</w:t>
      </w:r>
      <w:r w:rsidRPr="00E12CFD">
        <w:rPr>
          <w:rFonts w:cs="Times New Roman"/>
          <w:color w:val="222222"/>
          <w:szCs w:val="24"/>
          <w:shd w:val="clear" w:color="auto" w:fill="FFFFFF"/>
        </w:rPr>
        <w:t xml:space="preserve">. Much like in the context of InfoSec, stressed employees have a lower intent to comply with organizational security policies </w:t>
      </w:r>
      <w:r>
        <w:rPr>
          <w:rFonts w:cs="Times New Roman"/>
          <w:noProof/>
          <w:color w:val="222222"/>
          <w:szCs w:val="24"/>
          <w:shd w:val="clear" w:color="auto" w:fill="FFFFFF"/>
        </w:rPr>
        <w:t>(Ament &amp; Haag, 2016a; D'Arcy et al., 2014; D'Arcy et al., 2018; D’Arcy &amp; Teh, 2019; Pham et al., 2016)</w:t>
      </w:r>
      <w:r w:rsidRPr="00E12CFD">
        <w:rPr>
          <w:rFonts w:cs="Times New Roman"/>
          <w:color w:val="222222"/>
          <w:szCs w:val="24"/>
          <w:shd w:val="clear" w:color="auto" w:fill="FFFFFF"/>
        </w:rPr>
        <w:t xml:space="preserve">. In this sense, compliance or noncompliance is a type of stress-related outcome. </w:t>
      </w:r>
    </w:p>
    <w:p w14:paraId="02949ED8"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lastRenderedPageBreak/>
        <w:t xml:space="preserve">Our review findings also highlight job turnover as stress-related outcomes that are particularly well-suited to the study of stress among cybersecurity professionals </w:t>
      </w:r>
      <w:r>
        <w:rPr>
          <w:rFonts w:cs="Times New Roman"/>
          <w:noProof/>
          <w:color w:val="222222"/>
          <w:szCs w:val="24"/>
          <w:shd w:val="clear" w:color="auto" w:fill="FFFFFF"/>
        </w:rPr>
        <w:t>(Ahuja et al., 2007; Armstrong et al., 2015; Igbaria &amp; Guimaraes, 1993; Joseph et al., 2007; Moore, 2000; Thatcher et al., 2002)</w:t>
      </w:r>
      <w:r w:rsidRPr="00E12CFD">
        <w:rPr>
          <w:rFonts w:cs="Times New Roman"/>
          <w:color w:val="222222"/>
          <w:szCs w:val="24"/>
          <w:shd w:val="clear" w:color="auto" w:fill="FFFFFF"/>
        </w:rPr>
        <w:t xml:space="preserve">. Job turnover is defined as voluntarily leaving a job for a similar job with another employer and is one of the most common stress-related outcomes receiving attention from IS scholars, though not yet in the unique context of the cybersecurity profession </w:t>
      </w:r>
      <w:r>
        <w:rPr>
          <w:rFonts w:cs="Times New Roman"/>
          <w:noProof/>
          <w:color w:val="222222"/>
          <w:szCs w:val="24"/>
          <w:shd w:val="clear" w:color="auto" w:fill="FFFFFF"/>
        </w:rPr>
        <w:t>(Joseph et al., 2007)</w:t>
      </w:r>
      <w:r w:rsidRPr="00E12CFD">
        <w:rPr>
          <w:rFonts w:cs="Times New Roman"/>
          <w:color w:val="222222"/>
          <w:szCs w:val="24"/>
          <w:shd w:val="clear" w:color="auto" w:fill="FFFFFF"/>
        </w:rPr>
        <w:t xml:space="preserve">. Research shows that general IS professionals experiencing a high level of stress in the form of burnout and work exhaustion have a higher intent to leave their jobs or—in the extreme case—the IS profession overall </w:t>
      </w:r>
      <w:r>
        <w:rPr>
          <w:rFonts w:cs="Times New Roman"/>
          <w:noProof/>
          <w:color w:val="222222"/>
          <w:szCs w:val="24"/>
          <w:shd w:val="clear" w:color="auto" w:fill="FFFFFF"/>
        </w:rPr>
        <w:t>(Ahuja et al., 2007; Armstrong et al., 2018; Armstrong et al., 2007; Califf et al., 2020; Moore, 2000; Moquin &amp; Wakefield, 2016; Podsakoff et al., 2007; Rutner et al., 2008; Shih et al., 2011)</w:t>
      </w:r>
      <w:r w:rsidRPr="00E12CFD">
        <w:rPr>
          <w:rFonts w:cs="Times New Roman"/>
          <w:color w:val="222222"/>
          <w:szCs w:val="24"/>
          <w:shd w:val="clear" w:color="auto" w:fill="FFFFFF"/>
        </w:rPr>
        <w:t xml:space="preserve">. Over the course of several studies, demands such as role conflict, role ambiguity, work overload, lack of autonomy, lack of rewards, work–family conflict, a lack of career development and promotional aspects, and positive and negative emotional dissonance have been shown to be the strongest contributors to work exhaustion and burnout, leading to a high rate of turnover </w:t>
      </w:r>
      <w:r>
        <w:rPr>
          <w:rFonts w:cs="Times New Roman"/>
          <w:noProof/>
          <w:color w:val="222222"/>
          <w:szCs w:val="24"/>
          <w:shd w:val="clear" w:color="auto" w:fill="FFFFFF"/>
        </w:rPr>
        <w:t>(Ahuja et al., 2007; Armstrong et al., 2018; Armstrong et al., 2007; Califf et al., 2020; Moore, 2000; Moquin &amp; Wakefield, 2016; Podsakoff et al., 2007; Rutner et al., 2008; Shih et al., 2011)</w:t>
      </w:r>
      <w:r w:rsidRPr="00E12CFD">
        <w:rPr>
          <w:rFonts w:cs="Times New Roman"/>
          <w:color w:val="222222"/>
          <w:szCs w:val="24"/>
          <w:shd w:val="clear" w:color="auto" w:fill="FFFFFF"/>
        </w:rPr>
        <w:t xml:space="preserve">. </w:t>
      </w:r>
    </w:p>
    <w:p w14:paraId="1A9E78FF" w14:textId="0BB8A75D"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Strain is a long-term stress response among professionals experiencing a high level of stress. A prolonged state of strain, work exhaustion, or burnout has been shown to influence employees’ effectiveness, efficiency, decision quality, and decision accuracy (e.g., phishing email detection accuracy), </w:t>
      </w:r>
      <w:r>
        <w:rPr>
          <w:rFonts w:cs="Times New Roman"/>
          <w:noProof/>
          <w:color w:val="222222"/>
          <w:szCs w:val="24"/>
          <w:shd w:val="clear" w:color="auto" w:fill="FFFFFF"/>
        </w:rPr>
        <w:t>(Monica &amp; Gloria, 2019; Tobler et al., 2017; Wang et al., 2017)</w:t>
      </w:r>
      <w:r w:rsidRPr="00E12CFD">
        <w:rPr>
          <w:rFonts w:cs="Times New Roman"/>
          <w:color w:val="222222"/>
          <w:szCs w:val="24"/>
          <w:shd w:val="clear" w:color="auto" w:fill="FFFFFF"/>
        </w:rPr>
        <w:t xml:space="preserve"> while impacting their overall productivity, personal accomplishments, team performance, and job performance </w:t>
      </w:r>
      <w:r>
        <w:rPr>
          <w:rFonts w:cs="Times New Roman"/>
          <w:noProof/>
          <w:color w:val="222222"/>
          <w:szCs w:val="24"/>
          <w:shd w:val="clear" w:color="auto" w:fill="FFFFFF"/>
        </w:rPr>
        <w:t xml:space="preserve">(Helkala et al., 2016; Moody &amp; Galletta, 2015; Pirkkalainen et al., 2019; Shih et al., 2013; Tams </w:t>
      </w:r>
      <w:r>
        <w:rPr>
          <w:rFonts w:cs="Times New Roman"/>
          <w:noProof/>
          <w:color w:val="222222"/>
          <w:szCs w:val="24"/>
          <w:shd w:val="clear" w:color="auto" w:fill="FFFFFF"/>
        </w:rPr>
        <w:lastRenderedPageBreak/>
        <w:t>et al., 2014; Tams, Thatcher, et al., 2018; Tarafdar, Pullins, et al., 2015; Tarafdar et al., 2007; Tarafdar et al., 2010; Tu et al., 2005; Venkatesh et al., 2018; Windeler et al., 2017; Yu et al., 2018; Zhao et al., 2020)</w:t>
      </w:r>
      <w:r w:rsidRPr="00E12CFD">
        <w:rPr>
          <w:rFonts w:cs="Times New Roman"/>
          <w:color w:val="222222"/>
          <w:szCs w:val="24"/>
          <w:shd w:val="clear" w:color="auto" w:fill="FFFFFF"/>
        </w:rPr>
        <w:t xml:space="preserve">; all stress response outcomes </w:t>
      </w:r>
      <w:r w:rsidR="00B62467">
        <w:rPr>
          <w:rFonts w:cs="Times New Roman"/>
          <w:color w:val="222222"/>
          <w:szCs w:val="24"/>
          <w:shd w:val="clear" w:color="auto" w:fill="FFFFFF"/>
        </w:rPr>
        <w:t>apply</w:t>
      </w:r>
      <w:r w:rsidRPr="00E12CFD">
        <w:rPr>
          <w:rFonts w:cs="Times New Roman"/>
          <w:color w:val="222222"/>
          <w:szCs w:val="24"/>
          <w:shd w:val="clear" w:color="auto" w:fill="FFFFFF"/>
        </w:rPr>
        <w:t xml:space="preserve"> to the study of stress among cybersecurity professionals. In extreme cases, long-term negative health consequences have also been reported </w:t>
      </w:r>
      <w:r>
        <w:rPr>
          <w:rFonts w:cs="Times New Roman"/>
          <w:noProof/>
          <w:color w:val="222222"/>
          <w:szCs w:val="24"/>
          <w:shd w:val="clear" w:color="auto" w:fill="FFFFFF"/>
        </w:rPr>
        <w:t>(Beaudry &amp; Pinsonneault, 2010; Budnick et al., 2020; Fadel, 2012; Fuglseth &amp; Sørebø, 2014; George, 1996; Moore, 2000; Weiss, 1983)</w:t>
      </w:r>
      <w:r w:rsidRPr="00E12CFD">
        <w:rPr>
          <w:rFonts w:cs="Times New Roman"/>
          <w:color w:val="222222"/>
          <w:szCs w:val="24"/>
          <w:shd w:val="clear" w:color="auto" w:fill="FFFFFF"/>
        </w:rPr>
        <w:t>.</w:t>
      </w:r>
    </w:p>
    <w:p w14:paraId="4C948EC7" w14:textId="77777777" w:rsidR="003E5B95" w:rsidRPr="00E12CFD" w:rsidRDefault="003E5B95" w:rsidP="003E5B95">
      <w:pPr>
        <w:rPr>
          <w:rFonts w:cs="Times New Roman"/>
          <w:color w:val="222222"/>
          <w:szCs w:val="24"/>
          <w:shd w:val="clear" w:color="auto" w:fill="FFFFFF"/>
        </w:rPr>
      </w:pPr>
      <w:r w:rsidRPr="00E12CFD">
        <w:rPr>
          <w:rFonts w:cs="Times New Roman"/>
          <w:bCs/>
          <w:color w:val="222222"/>
          <w:szCs w:val="24"/>
          <w:shd w:val="clear" w:color="auto" w:fill="FFFFFF"/>
        </w:rPr>
        <w:t>Finally, b</w:t>
      </w:r>
      <w:r w:rsidRPr="00E12CFD">
        <w:rPr>
          <w:rFonts w:cs="Times New Roman"/>
          <w:color w:val="222222"/>
          <w:szCs w:val="24"/>
          <w:shd w:val="clear" w:color="auto" w:fill="FFFFFF"/>
        </w:rPr>
        <w:t xml:space="preserve">ased on the articles reviewed within the scope of this assessing review (Appendix C), the next section presents our observations, detailing what we know and what we need to learn more about in terms of the demands, appraisal, stress responses, and stress-related outcomes as they relate to cybersecurity professionals. </w:t>
      </w:r>
    </w:p>
    <w:p w14:paraId="7A36455A" w14:textId="77777777" w:rsidR="003E5B95" w:rsidRPr="003E5B95" w:rsidRDefault="003E5B95" w:rsidP="003E5B95">
      <w:pPr>
        <w:pStyle w:val="Heading1"/>
        <w:rPr>
          <w:b/>
          <w:bCs/>
        </w:rPr>
      </w:pPr>
      <w:bookmarkStart w:id="90" w:name="_Toc73602049"/>
      <w:bookmarkStart w:id="91" w:name="_Toc74045218"/>
      <w:bookmarkStart w:id="92" w:name="_Toc74087503"/>
      <w:bookmarkStart w:id="93" w:name="_Toc74258619"/>
      <w:r w:rsidRPr="003E5B95">
        <w:rPr>
          <w:b/>
          <w:bCs/>
        </w:rPr>
        <w:t>REVIEW OBSERVATIONS</w:t>
      </w:r>
      <w:bookmarkEnd w:id="90"/>
      <w:bookmarkEnd w:id="91"/>
      <w:bookmarkEnd w:id="92"/>
      <w:bookmarkEnd w:id="93"/>
    </w:p>
    <w:p w14:paraId="0F0F7E77" w14:textId="77777777" w:rsidR="003E5B95" w:rsidRPr="00E12CFD" w:rsidRDefault="003E5B95" w:rsidP="003E5B95">
      <w:pPr>
        <w:rPr>
          <w:rFonts w:cs="Times New Roman"/>
          <w:bCs/>
          <w:color w:val="222222"/>
          <w:szCs w:val="24"/>
          <w:shd w:val="clear" w:color="auto" w:fill="FFFFFF"/>
        </w:rPr>
      </w:pPr>
      <w:r w:rsidRPr="00E12CFD">
        <w:rPr>
          <w:rFonts w:cs="Times New Roman"/>
          <w:bCs/>
          <w:color w:val="222222"/>
          <w:szCs w:val="24"/>
          <w:shd w:val="clear" w:color="auto" w:fill="FFFFFF"/>
        </w:rPr>
        <w:t xml:space="preserve">This section summarizes our understanding of the current state of knowledge concerning stress in the cybersecurity profession. These observations will also allow us to identify and integrate the conceptual themes and relationships that constitute the stress phenomenon within cybersecurity professionals, thus developing a theory-driven, rigorous framing through which scholarly efforts should be directed. </w:t>
      </w:r>
    </w:p>
    <w:p w14:paraId="60735CF1" w14:textId="77777777" w:rsidR="003E5B95" w:rsidRPr="00E12CFD" w:rsidRDefault="003E5B95" w:rsidP="003E5B95">
      <w:pPr>
        <w:pStyle w:val="Heading2"/>
        <w:rPr>
          <w:shd w:val="clear" w:color="auto" w:fill="FFFFFF"/>
        </w:rPr>
      </w:pPr>
      <w:bookmarkStart w:id="94" w:name="_Toc73602050"/>
      <w:bookmarkStart w:id="95" w:name="_Toc74045219"/>
      <w:bookmarkStart w:id="96" w:name="_Toc74087504"/>
      <w:bookmarkStart w:id="97" w:name="_Toc74258620"/>
      <w:r w:rsidRPr="00E12CFD">
        <w:rPr>
          <w:shd w:val="clear" w:color="auto" w:fill="FFFFFF"/>
        </w:rPr>
        <w:t>Observation 1: Stress in the cybersecurity profession has been a mostly overlooked research phenomenon and, as such, is still in its infancy</w:t>
      </w:r>
      <w:bookmarkEnd w:id="94"/>
      <w:bookmarkEnd w:id="95"/>
      <w:bookmarkEnd w:id="96"/>
      <w:bookmarkEnd w:id="97"/>
    </w:p>
    <w:p w14:paraId="44C16EDB" w14:textId="0D17E59F" w:rsidR="003E5B95" w:rsidRPr="00E12CFD" w:rsidRDefault="003E5B95" w:rsidP="003E5B95">
      <w:pPr>
        <w:rPr>
          <w:rFonts w:cs="Times New Roman"/>
          <w:bCs/>
          <w:color w:val="222222"/>
          <w:szCs w:val="24"/>
          <w:shd w:val="clear" w:color="auto" w:fill="FFFFFF"/>
        </w:rPr>
      </w:pPr>
      <w:r w:rsidRPr="00E12CFD">
        <w:rPr>
          <w:rFonts w:cs="Times New Roman"/>
          <w:bCs/>
          <w:color w:val="222222"/>
          <w:szCs w:val="24"/>
          <w:shd w:val="clear" w:color="auto" w:fill="FFFFFF"/>
        </w:rPr>
        <w:t xml:space="preserve">Our review has revealed a total of 14 research works inclusive of journal articles and conference papers with an explicit focus on stress in InfoSec. Omitting work-in-progress papers because of a lack of findings, our final sample pool of research included </w:t>
      </w:r>
      <w:r w:rsidR="00B62467">
        <w:rPr>
          <w:rFonts w:cs="Times New Roman"/>
          <w:bCs/>
          <w:color w:val="222222"/>
          <w:szCs w:val="24"/>
          <w:shd w:val="clear" w:color="auto" w:fill="FFFFFF"/>
        </w:rPr>
        <w:t>ten</w:t>
      </w:r>
      <w:r w:rsidRPr="00E12CFD">
        <w:rPr>
          <w:rFonts w:cs="Times New Roman"/>
          <w:bCs/>
          <w:color w:val="222222"/>
          <w:szCs w:val="24"/>
          <w:shd w:val="clear" w:color="auto" w:fill="FFFFFF"/>
        </w:rPr>
        <w:t xml:space="preserve"> journal articles and</w:t>
      </w:r>
      <w:r w:rsidR="00B62467">
        <w:rPr>
          <w:rFonts w:cs="Times New Roman"/>
          <w:bCs/>
          <w:color w:val="222222"/>
          <w:szCs w:val="24"/>
          <w:shd w:val="clear" w:color="auto" w:fill="FFFFFF"/>
        </w:rPr>
        <w:t xml:space="preserve"> one </w:t>
      </w:r>
      <w:r w:rsidRPr="00E12CFD">
        <w:rPr>
          <w:rFonts w:cs="Times New Roman"/>
          <w:bCs/>
          <w:color w:val="222222"/>
          <w:szCs w:val="24"/>
          <w:shd w:val="clear" w:color="auto" w:fill="FFFFFF"/>
        </w:rPr>
        <w:t xml:space="preserve">conference paper. A close examination of these articles shows that the conceptualization of stress in the InfoSec context is still progressing but that a </w:t>
      </w:r>
      <w:r w:rsidR="004133EF" w:rsidRPr="00E12CFD">
        <w:rPr>
          <w:rFonts w:cs="Times New Roman"/>
          <w:bCs/>
          <w:color w:val="222222"/>
          <w:szCs w:val="24"/>
          <w:shd w:val="clear" w:color="auto" w:fill="FFFFFF"/>
        </w:rPr>
        <w:t>focus</w:t>
      </w:r>
      <w:r w:rsidRPr="00E12CFD">
        <w:rPr>
          <w:rFonts w:cs="Times New Roman"/>
          <w:bCs/>
          <w:color w:val="222222"/>
          <w:szCs w:val="24"/>
          <w:shd w:val="clear" w:color="auto" w:fill="FFFFFF"/>
        </w:rPr>
        <w:t xml:space="preserve"> on the cybersecurity profession is </w:t>
      </w:r>
      <w:r w:rsidRPr="00E12CFD">
        <w:rPr>
          <w:rFonts w:cs="Times New Roman"/>
          <w:bCs/>
          <w:color w:val="222222"/>
          <w:szCs w:val="24"/>
          <w:shd w:val="clear" w:color="auto" w:fill="FFFFFF"/>
        </w:rPr>
        <w:lastRenderedPageBreak/>
        <w:t xml:space="preserve">mostly missing. In the broader context of InfoSec, the first studies of stress appeared in 2014 with D’Arcy et al.’s (2014) study on SRS; this article describes SRS as a form of work stress specific to the InfoSec domain. More specifically, SRS is a form of psychological stress brought on by internal or external InfoSec-related demands appraised as taxing to an employee’s cognitive resources or abilities </w:t>
      </w:r>
      <w:r>
        <w:rPr>
          <w:rFonts w:cs="Times New Roman"/>
          <w:bCs/>
          <w:noProof/>
          <w:color w:val="222222"/>
          <w:szCs w:val="24"/>
          <w:shd w:val="clear" w:color="auto" w:fill="FFFFFF"/>
        </w:rPr>
        <w:t>(D'Arcy et al., 2014)</w:t>
      </w:r>
      <w:r w:rsidRPr="00E12CFD">
        <w:rPr>
          <w:rFonts w:cs="Times New Roman"/>
          <w:bCs/>
          <w:color w:val="222222"/>
          <w:szCs w:val="24"/>
          <w:shd w:val="clear" w:color="auto" w:fill="FFFFFF"/>
        </w:rPr>
        <w:t xml:space="preserve">. </w:t>
      </w:r>
    </w:p>
    <w:p w14:paraId="4BC69136" w14:textId="77777777" w:rsidR="003E5B95" w:rsidRPr="00E12CFD" w:rsidRDefault="003E5B95" w:rsidP="003E5B95">
      <w:pPr>
        <w:rPr>
          <w:rFonts w:cs="Times New Roman"/>
          <w:bCs/>
          <w:color w:val="222222"/>
          <w:szCs w:val="24"/>
          <w:shd w:val="clear" w:color="auto" w:fill="FFFFFF"/>
        </w:rPr>
      </w:pPr>
      <w:r w:rsidRPr="00E12CFD">
        <w:rPr>
          <w:rFonts w:cs="Times New Roman"/>
          <w:bCs/>
          <w:color w:val="222222"/>
          <w:szCs w:val="24"/>
          <w:shd w:val="clear" w:color="auto" w:fill="FFFFFF"/>
        </w:rPr>
        <w:t xml:space="preserve">SRS is described as having a direct influence on the employee’s InfoSec compliance activities, hence acting as an independent variable in an SRS-based research model. Later, as a departure from the earlier conceptualization of SRS, D’Arcy and </w:t>
      </w:r>
      <w:proofErr w:type="spellStart"/>
      <w:r w:rsidRPr="00E12CFD">
        <w:rPr>
          <w:rFonts w:cs="Times New Roman"/>
          <w:bCs/>
          <w:color w:val="222222"/>
          <w:szCs w:val="24"/>
          <w:shd w:val="clear" w:color="auto" w:fill="FFFFFF"/>
        </w:rPr>
        <w:t>Teh</w:t>
      </w:r>
      <w:proofErr w:type="spellEnd"/>
      <w:r w:rsidRPr="00E12CFD">
        <w:rPr>
          <w:rFonts w:cs="Times New Roman"/>
          <w:bCs/>
          <w:color w:val="222222"/>
          <w:szCs w:val="24"/>
          <w:shd w:val="clear" w:color="auto" w:fill="FFFFFF"/>
        </w:rPr>
        <w:t xml:space="preserve"> (2019) focus on the security demands that vary daily and root this new conceptualization of SRS in the hindrance stress literature (from the challenge and hindrance stress framework). In terms of measuring this new SRS, D’Arcy et al. (2014) deviate from their previous approach where SRS is a direct adaptation of technostress creators. This new SRS is measured using one item each for role conflict and role ambiguity and two items for work impediments.</w:t>
      </w:r>
    </w:p>
    <w:p w14:paraId="1BBDB3AA" w14:textId="27ACBF78" w:rsidR="003E5B95" w:rsidRPr="00E12CFD" w:rsidRDefault="003E5B95" w:rsidP="003E5B95">
      <w:pPr>
        <w:pStyle w:val="ListParagraph"/>
        <w:spacing w:line="480" w:lineRule="auto"/>
        <w:ind w:left="0"/>
        <w:rPr>
          <w:rFonts w:ascii="Times New Roman" w:hAnsi="Times New Roman" w:cs="Times New Roman"/>
          <w:sz w:val="24"/>
          <w:szCs w:val="24"/>
        </w:rPr>
      </w:pPr>
      <w:r w:rsidRPr="00E12CFD">
        <w:rPr>
          <w:rFonts w:ascii="Times New Roman" w:hAnsi="Times New Roman" w:cs="Times New Roman"/>
          <w:sz w:val="24"/>
          <w:szCs w:val="24"/>
        </w:rPr>
        <w:t>Another conceptualization of stress found in the broader context of InfoSec is information security stress (ISS). ISS</w:t>
      </w:r>
      <w:r w:rsidR="00B62467">
        <w:rPr>
          <w:rFonts w:ascii="Times New Roman" w:hAnsi="Times New Roman" w:cs="Times New Roman"/>
          <w:sz w:val="24"/>
          <w:szCs w:val="24"/>
        </w:rPr>
        <w:t xml:space="preserve"> </w:t>
      </w:r>
      <w:r w:rsidRPr="00E12CFD">
        <w:rPr>
          <w:rFonts w:ascii="Times New Roman" w:hAnsi="Times New Roman" w:cs="Times New Roman"/>
          <w:sz w:val="24"/>
          <w:szCs w:val="24"/>
        </w:rPr>
        <w:t>result</w:t>
      </w:r>
      <w:r w:rsidR="00B62467">
        <w:rPr>
          <w:rFonts w:ascii="Times New Roman" w:hAnsi="Times New Roman" w:cs="Times New Roman"/>
          <w:sz w:val="24"/>
          <w:szCs w:val="24"/>
        </w:rPr>
        <w:t>s from</w:t>
      </w:r>
      <w:r w:rsidRPr="00E12CFD">
        <w:rPr>
          <w:rFonts w:ascii="Times New Roman" w:hAnsi="Times New Roman" w:cs="Times New Roman"/>
          <w:sz w:val="24"/>
          <w:szCs w:val="24"/>
        </w:rPr>
        <w:t xml:space="preserve"> a misfit between security goals that exceed employees’ capabilities as they attempt to comply with their organization’s security requirements </w:t>
      </w:r>
      <w:r>
        <w:rPr>
          <w:rFonts w:ascii="Times New Roman" w:hAnsi="Times New Roman" w:cs="Times New Roman"/>
          <w:noProof/>
          <w:sz w:val="24"/>
          <w:szCs w:val="24"/>
        </w:rPr>
        <w:t>(Lee et al., 2016)</w:t>
      </w:r>
      <w:r w:rsidRPr="00E12CFD">
        <w:rPr>
          <w:rFonts w:ascii="Times New Roman" w:hAnsi="Times New Roman" w:cs="Times New Roman"/>
          <w:sz w:val="24"/>
          <w:szCs w:val="24"/>
        </w:rPr>
        <w:t>. An organization’s enhanced security requirements cause work overload and a sense of privacy invasion, resulting in ISS. As such, ISS is a response variable in ISS-based research models, but like SRS research, its focus has been almost exclusively on the broader context of InfoSec, not on the cybersecurity profession.</w:t>
      </w:r>
    </w:p>
    <w:p w14:paraId="57A23B93" w14:textId="77777777" w:rsidR="003E5B95" w:rsidRPr="00E12CFD" w:rsidRDefault="003E5B95" w:rsidP="003E5B95">
      <w:pPr>
        <w:rPr>
          <w:rFonts w:cs="Times New Roman"/>
          <w:szCs w:val="24"/>
        </w:rPr>
      </w:pPr>
      <w:r w:rsidRPr="00E12CFD">
        <w:rPr>
          <w:rFonts w:cs="Times New Roman"/>
          <w:szCs w:val="24"/>
        </w:rPr>
        <w:t xml:space="preserve">A related focus of stress in the context of InfoSec is also found in scholarly efforts to understand the role of “security compliance burnout,” which is defined as an employee’s experience of psychological exhaustion and cynicism when complying with their assigned </w:t>
      </w:r>
      <w:r w:rsidRPr="00E12CFD">
        <w:rPr>
          <w:rFonts w:cs="Times New Roman"/>
          <w:szCs w:val="24"/>
        </w:rPr>
        <w:lastRenderedPageBreak/>
        <w:t xml:space="preserve">security tasks and exercising security precaution </w:t>
      </w:r>
      <w:r>
        <w:rPr>
          <w:rFonts w:cs="Times New Roman"/>
          <w:noProof/>
          <w:szCs w:val="24"/>
        </w:rPr>
        <w:t>(Pham, 2019)</w:t>
      </w:r>
      <w:r w:rsidRPr="00E12CFD">
        <w:rPr>
          <w:rFonts w:cs="Times New Roman"/>
          <w:szCs w:val="24"/>
        </w:rPr>
        <w:t xml:space="preserve">. This conceptualization of burnout suggests that employees lack interest and underestimate security issues because they consider security secondary to their primary job task </w:t>
      </w:r>
      <w:r>
        <w:rPr>
          <w:rFonts w:cs="Times New Roman"/>
          <w:noProof/>
          <w:szCs w:val="24"/>
        </w:rPr>
        <w:t>(Pham et al., 2016; Pham, 2019)</w:t>
      </w:r>
      <w:r w:rsidRPr="00E12CFD">
        <w:rPr>
          <w:rFonts w:cs="Times New Roman"/>
          <w:szCs w:val="24"/>
        </w:rPr>
        <w:t xml:space="preserve">. This recent line of research suggests that employees experience a high level of frustration and fatigue when performing regular security tasks, such as changing passwords or periodic security audits </w:t>
      </w:r>
      <w:r>
        <w:rPr>
          <w:rFonts w:cs="Times New Roman"/>
          <w:noProof/>
          <w:szCs w:val="24"/>
        </w:rPr>
        <w:t>(D’Arcy &amp; Teh, 2019; Pham et al., 2016)</w:t>
      </w:r>
      <w:r w:rsidRPr="00E12CFD">
        <w:rPr>
          <w:rFonts w:cs="Times New Roman"/>
          <w:szCs w:val="24"/>
        </w:rPr>
        <w:t xml:space="preserve">. Although the concept of burnout has not yet been studied in the context of the cybersecurity profession, we believe it is applicable and potentially valuable for expanding our understanding of stress among cyber professionals. </w:t>
      </w:r>
    </w:p>
    <w:p w14:paraId="05D466CC" w14:textId="293A2182"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Most studies that have focused on stress in a security-related context have applied the concepts of technostress and SRS research. For example, beyond D’Arcy et al</w:t>
      </w:r>
      <w:r w:rsidR="00B62467">
        <w:rPr>
          <w:rFonts w:cs="Times New Roman"/>
          <w:color w:val="222222"/>
          <w:szCs w:val="24"/>
          <w:shd w:val="clear" w:color="auto" w:fill="FFFFFF"/>
        </w:rPr>
        <w:t>.</w:t>
      </w:r>
      <w:r w:rsidRPr="00E12CFD">
        <w:rPr>
          <w:rFonts w:cs="Times New Roman"/>
          <w:color w:val="222222"/>
          <w:szCs w:val="24"/>
          <w:shd w:val="clear" w:color="auto" w:fill="FFFFFF"/>
        </w:rPr>
        <w:t xml:space="preserve"> (2014; 2018), Hwang and Cha (2018) contextualize the technostress creators in the InfoSec context as security-related technostress creators, positioning them as direct and indirect determinants of an end user’s organizational commitment and, ultimately, his/her InfoSec policy compliance intention. They find that security professionals who are sensitive to negative outcomes experience higher levels of role stress compared with those who are less sensitive to negative outcomes. </w:t>
      </w:r>
    </w:p>
    <w:p w14:paraId="40786545" w14:textId="36243392"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The SRS concept has also been extended to include novice cybersecurity professionals who experience security-related stress in the information security risk management process, which is a continuous process of identifying and countering risks to the confidentiality, availability, and integrity of information </w:t>
      </w:r>
      <w:r>
        <w:rPr>
          <w:rFonts w:cs="Times New Roman"/>
          <w:noProof/>
          <w:color w:val="222222"/>
          <w:szCs w:val="24"/>
          <w:shd w:val="clear" w:color="auto" w:fill="FFFFFF"/>
        </w:rPr>
        <w:t>(Lundgren &amp; Bergström, 2019)</w:t>
      </w:r>
      <w:r w:rsidRPr="00E12CFD">
        <w:rPr>
          <w:rFonts w:cs="Times New Roman"/>
          <w:color w:val="222222"/>
          <w:szCs w:val="24"/>
          <w:shd w:val="clear" w:color="auto" w:fill="FFFFFF"/>
        </w:rPr>
        <w:t>. This is an extension of D’Arcy et al</w:t>
      </w:r>
      <w:r w:rsidR="00B62467">
        <w:rPr>
          <w:rFonts w:cs="Times New Roman"/>
          <w:color w:val="222222"/>
          <w:szCs w:val="24"/>
          <w:shd w:val="clear" w:color="auto" w:fill="FFFFFF"/>
        </w:rPr>
        <w:t>.</w:t>
      </w:r>
      <w:r w:rsidRPr="00E12CFD">
        <w:rPr>
          <w:rFonts w:cs="Times New Roman"/>
          <w:color w:val="222222"/>
          <w:szCs w:val="24"/>
          <w:shd w:val="clear" w:color="auto" w:fill="FFFFFF"/>
        </w:rPr>
        <w:t xml:space="preserve"> (2014; 2018) in the context of information security risk management; however,</w:t>
      </w:r>
      <w:r>
        <w:rPr>
          <w:rFonts w:cs="Times New Roman"/>
          <w:color w:val="222222"/>
          <w:szCs w:val="24"/>
          <w:shd w:val="clear" w:color="auto" w:fill="FFFFFF"/>
        </w:rPr>
        <w:t xml:space="preserve"> the research by </w:t>
      </w:r>
      <w:r>
        <w:rPr>
          <w:rFonts w:cs="Times New Roman"/>
          <w:noProof/>
          <w:color w:val="222222"/>
          <w:szCs w:val="24"/>
          <w:shd w:val="clear" w:color="auto" w:fill="FFFFFF"/>
        </w:rPr>
        <w:t>Lundgren and Bergström (2019)</w:t>
      </w:r>
      <w:r w:rsidRPr="00E12CFD">
        <w:rPr>
          <w:rFonts w:cs="Times New Roman"/>
          <w:color w:val="222222"/>
          <w:szCs w:val="24"/>
          <w:shd w:val="clear" w:color="auto" w:fill="FFFFFF"/>
        </w:rPr>
        <w:t xml:space="preserve"> not only focuses on the demands that cause SRS, but it also points out the mechanisms through which SRS can be mitigated: by providing training, </w:t>
      </w:r>
      <w:r w:rsidRPr="00E12CFD">
        <w:rPr>
          <w:rFonts w:cs="Times New Roman"/>
          <w:color w:val="222222"/>
          <w:szCs w:val="24"/>
          <w:shd w:val="clear" w:color="auto" w:fill="FFFFFF"/>
        </w:rPr>
        <w:lastRenderedPageBreak/>
        <w:t>demonstration of security tools, and information security risk management processes to cybersecurity professionals.</w:t>
      </w:r>
    </w:p>
    <w:p w14:paraId="65D1D4A4" w14:textId="77777777" w:rsidR="003E5B95" w:rsidRPr="00E12CFD" w:rsidRDefault="003E5B95" w:rsidP="003E5B95">
      <w:pPr>
        <w:rPr>
          <w:rFonts w:cs="Times New Roman"/>
          <w:color w:val="222222"/>
          <w:szCs w:val="24"/>
          <w:shd w:val="clear" w:color="auto" w:fill="FFFFFF"/>
        </w:rPr>
      </w:pPr>
      <w:r w:rsidRPr="00E12CFD">
        <w:rPr>
          <w:rFonts w:cs="Times New Roman"/>
          <w:color w:val="222222"/>
          <w:szCs w:val="24"/>
          <w:shd w:val="clear" w:color="auto" w:fill="FFFFFF"/>
        </w:rPr>
        <w:t xml:space="preserve">Finally, relatively recent research has examined some differences in the evolution of stress between cybersecurity professionals and generic organizational employees or even the generic classification of IT professionals </w:t>
      </w:r>
      <w:r>
        <w:rPr>
          <w:rFonts w:cs="Times New Roman"/>
          <w:noProof/>
          <w:color w:val="222222"/>
          <w:szCs w:val="24"/>
          <w:shd w:val="clear" w:color="auto" w:fill="FFFFFF"/>
        </w:rPr>
        <w:t>(Helkala et al., 2016)</w:t>
      </w:r>
      <w:r w:rsidRPr="00E12CFD">
        <w:rPr>
          <w:rFonts w:cs="Times New Roman"/>
          <w:color w:val="222222"/>
          <w:szCs w:val="24"/>
          <w:shd w:val="clear" w:color="auto" w:fill="FFFFFF"/>
        </w:rPr>
        <w:t xml:space="preserve">; this research has found that cybersecurity professionals, more so than generic organizational employees and IT professionals, commonly experience extreme sleep and nutrition deprivation and immense physical and psychological stress. Further, cybersecurity professionals use situational self-efficacy as a coping strategy and perform significantly better than generic organizational and IT professional employees in extremely stressful conditions because of the motivation gained from the explanation of cyber tasks </w:t>
      </w:r>
      <w:r>
        <w:rPr>
          <w:rFonts w:cs="Times New Roman"/>
          <w:noProof/>
          <w:color w:val="222222"/>
          <w:szCs w:val="24"/>
          <w:shd w:val="clear" w:color="auto" w:fill="FFFFFF"/>
        </w:rPr>
        <w:t>(Helkala et al., 2016)</w:t>
      </w:r>
      <w:r w:rsidRPr="00E12CFD">
        <w:rPr>
          <w:rFonts w:cs="Times New Roman"/>
          <w:color w:val="222222"/>
          <w:szCs w:val="24"/>
          <w:shd w:val="clear" w:color="auto" w:fill="FFFFFF"/>
        </w:rPr>
        <w:t xml:space="preserve">. </w:t>
      </w:r>
    </w:p>
    <w:p w14:paraId="3DD789D8" w14:textId="77777777" w:rsidR="003E5B95" w:rsidRPr="00E12CFD" w:rsidRDefault="003E5B95" w:rsidP="003E5B95">
      <w:pPr>
        <w:pStyle w:val="ListParagraph"/>
        <w:spacing w:line="480" w:lineRule="auto"/>
        <w:ind w:left="0"/>
        <w:rPr>
          <w:rFonts w:ascii="Times New Roman" w:hAnsi="Times New Roman" w:cs="Times New Roman"/>
          <w:sz w:val="24"/>
          <w:szCs w:val="24"/>
        </w:rPr>
      </w:pPr>
      <w:r w:rsidRPr="00E12CFD">
        <w:rPr>
          <w:rFonts w:ascii="Times New Roman" w:hAnsi="Times New Roman" w:cs="Times New Roman"/>
          <w:sz w:val="24"/>
          <w:szCs w:val="24"/>
        </w:rPr>
        <w:t>In summary, the evolving scholarship on stress in the context of InfoSec has focused almost exclusively on stress among those individuals to which security policies, standards, and processes apply, rather than on those charged with the responsibility of developing, implementing, and maintaining those security efforts. However, recent research has begun to examine the unique circumstances for stress creation among cybersecurity professionals, paving the way for further exploration.</w:t>
      </w:r>
    </w:p>
    <w:p w14:paraId="10CFFD63" w14:textId="77777777" w:rsidR="003E5B95" w:rsidRPr="00E12CFD" w:rsidRDefault="003E5B95" w:rsidP="003E5B95">
      <w:pPr>
        <w:pStyle w:val="Heading2"/>
      </w:pPr>
      <w:bookmarkStart w:id="98" w:name="_Toc73602051"/>
      <w:bookmarkStart w:id="99" w:name="_Toc74045220"/>
      <w:bookmarkStart w:id="100" w:name="_Toc74087505"/>
      <w:bookmarkStart w:id="101" w:name="_Toc74258621"/>
      <w:r w:rsidRPr="00E12CFD">
        <w:t>Observation 2: The current research available to inform the study of stress among cybersecurity professionals lacks novel outcomes</w:t>
      </w:r>
      <w:bookmarkEnd w:id="98"/>
      <w:bookmarkEnd w:id="99"/>
      <w:bookmarkEnd w:id="100"/>
      <w:bookmarkEnd w:id="101"/>
    </w:p>
    <w:p w14:paraId="1638713F" w14:textId="77777777" w:rsidR="003E5B95" w:rsidRPr="00E12CFD" w:rsidRDefault="003E5B95" w:rsidP="003E5B95">
      <w:pPr>
        <w:rPr>
          <w:rFonts w:cs="Times New Roman"/>
          <w:szCs w:val="24"/>
        </w:rPr>
      </w:pPr>
      <w:r w:rsidRPr="00E12CFD">
        <w:rPr>
          <w:rFonts w:cs="Times New Roman"/>
          <w:szCs w:val="24"/>
        </w:rPr>
        <w:t xml:space="preserve">A key observation from our review is that the conceptualization of stress in the InfoSec domain adds a new perspective to behavioral security research, which focuses primarily on the determinants of </w:t>
      </w:r>
      <w:r>
        <w:rPr>
          <w:rFonts w:cs="Times New Roman"/>
          <w:szCs w:val="24"/>
        </w:rPr>
        <w:t>information security policy (</w:t>
      </w:r>
      <w:r w:rsidRPr="00E12CFD">
        <w:rPr>
          <w:rFonts w:cs="Times New Roman"/>
          <w:szCs w:val="24"/>
        </w:rPr>
        <w:t>ISP</w:t>
      </w:r>
      <w:r>
        <w:rPr>
          <w:rFonts w:cs="Times New Roman"/>
          <w:szCs w:val="24"/>
        </w:rPr>
        <w:t>)</w:t>
      </w:r>
      <w:r w:rsidRPr="00E12CFD">
        <w:rPr>
          <w:rFonts w:cs="Times New Roman"/>
          <w:szCs w:val="24"/>
        </w:rPr>
        <w:t xml:space="preserve"> violations and noncompliant behaviors</w:t>
      </w:r>
      <w:r w:rsidRPr="00E12CFD">
        <w:rPr>
          <w:rFonts w:cs="Times New Roman"/>
          <w:i/>
          <w:iCs/>
          <w:szCs w:val="24"/>
        </w:rPr>
        <w:t xml:space="preserve">. </w:t>
      </w:r>
      <w:r w:rsidRPr="00E12CFD">
        <w:rPr>
          <w:rFonts w:cs="Times New Roman"/>
          <w:szCs w:val="24"/>
        </w:rPr>
        <w:t xml:space="preserve">In other words, the conceptualization of stress offers a new perspective in which the workplace </w:t>
      </w:r>
      <w:r w:rsidRPr="00E12CFD">
        <w:rPr>
          <w:rFonts w:cs="Times New Roman"/>
          <w:szCs w:val="24"/>
        </w:rPr>
        <w:lastRenderedPageBreak/>
        <w:t xml:space="preserve">environment fosters noncompliant users’ behaviors and inspires the cognitive rationalizations of such behavior </w:t>
      </w:r>
      <w:r>
        <w:rPr>
          <w:rFonts w:cs="Times New Roman"/>
          <w:noProof/>
          <w:szCs w:val="24"/>
        </w:rPr>
        <w:t>(D’Arcy &amp; Teh, 2019)</w:t>
      </w:r>
      <w:r w:rsidRPr="00E12CFD">
        <w:rPr>
          <w:rFonts w:cs="Times New Roman"/>
          <w:szCs w:val="24"/>
        </w:rPr>
        <w:t xml:space="preserve">. Being rooted in an ISP compliance perspective, InfoSec stress research primarily focuses on policy compliance issues as an outcome variable, leaving an unexplored area of investigation in studying the influence of SRS on other organizational variables such as job satisfaction, employee productivity, turnover, and so forth. </w:t>
      </w:r>
    </w:p>
    <w:p w14:paraId="0E5D2CCC" w14:textId="77777777" w:rsidR="003E5B95" w:rsidRPr="00E12CFD" w:rsidRDefault="003E5B95" w:rsidP="003E5B95">
      <w:pPr>
        <w:rPr>
          <w:rFonts w:cs="Times New Roman"/>
          <w:szCs w:val="24"/>
        </w:rPr>
      </w:pPr>
      <w:r w:rsidRPr="00E12CFD">
        <w:rPr>
          <w:rFonts w:cs="Times New Roman"/>
          <w:szCs w:val="24"/>
        </w:rPr>
        <w:t xml:space="preserve">Beyond compliance issues, other outcome variables that have emerged in our review are security compliance burnout and information security awareness </w:t>
      </w:r>
      <w:r>
        <w:rPr>
          <w:rFonts w:cs="Times New Roman"/>
          <w:noProof/>
          <w:szCs w:val="24"/>
        </w:rPr>
        <w:t>(McCormac et al., 2018; Pham et al., 2016; Pham, 2019)</w:t>
      </w:r>
      <w:r w:rsidRPr="00E12CFD">
        <w:rPr>
          <w:rFonts w:cs="Times New Roman"/>
          <w:szCs w:val="24"/>
        </w:rPr>
        <w:t xml:space="preserve">. Security compliance burnout is experienced when employees comply with their organization’s security policies and when there is a lack of organizational and personal resources to cope with security demands </w:t>
      </w:r>
      <w:r>
        <w:rPr>
          <w:rFonts w:cs="Times New Roman"/>
          <w:noProof/>
          <w:szCs w:val="24"/>
        </w:rPr>
        <w:t>(Pham et al., 2016; Pham, 2019)</w:t>
      </w:r>
      <w:r w:rsidRPr="00E12CFD">
        <w:rPr>
          <w:rFonts w:cs="Times New Roman"/>
          <w:szCs w:val="24"/>
        </w:rPr>
        <w:t xml:space="preserve">. Information security awareness (ISA) is an understanding of an organization’s InfoSec policies, rules, and guidance. With a high level of ISA, employees can better perform secure computing behavior </w:t>
      </w:r>
      <w:r>
        <w:rPr>
          <w:rFonts w:cs="Times New Roman"/>
          <w:noProof/>
          <w:szCs w:val="24"/>
        </w:rPr>
        <w:t>(McCormac et al., 2018)</w:t>
      </w:r>
      <w:r w:rsidRPr="00E12CFD">
        <w:rPr>
          <w:rFonts w:cs="Times New Roman"/>
          <w:szCs w:val="24"/>
        </w:rPr>
        <w:t xml:space="preserve">. Finally, we have found that ISS is also conceptualized as an outcome variable caused by the invasion of privacy and work overload from an organization’s security requirements. </w:t>
      </w:r>
    </w:p>
    <w:p w14:paraId="278C3659" w14:textId="77777777" w:rsidR="003E5B95" w:rsidRPr="00E12CFD" w:rsidRDefault="003E5B95" w:rsidP="003E5B95">
      <w:pPr>
        <w:pStyle w:val="Heading2"/>
        <w:rPr>
          <w:bCs/>
        </w:rPr>
      </w:pPr>
      <w:bookmarkStart w:id="102" w:name="_Toc73602052"/>
      <w:bookmarkStart w:id="103" w:name="_Toc74045221"/>
      <w:bookmarkStart w:id="104" w:name="_Toc74087506"/>
      <w:bookmarkStart w:id="105" w:name="_Toc74258622"/>
      <w:r w:rsidRPr="00E12CFD">
        <w:t xml:space="preserve">Observation 3: The research on SRS focuses on security demands as the source of </w:t>
      </w:r>
      <w:r w:rsidRPr="00E12CFD">
        <w:rPr>
          <w:bCs/>
        </w:rPr>
        <w:t>stress and burnout among organizational staff</w:t>
      </w:r>
      <w:bookmarkEnd w:id="102"/>
      <w:bookmarkEnd w:id="103"/>
      <w:bookmarkEnd w:id="104"/>
      <w:bookmarkEnd w:id="105"/>
    </w:p>
    <w:p w14:paraId="490DBC90" w14:textId="77777777" w:rsidR="003E5B95" w:rsidRPr="00E12CFD" w:rsidRDefault="003E5B95" w:rsidP="003E5B95">
      <w:pPr>
        <w:rPr>
          <w:rFonts w:cs="Times New Roman"/>
          <w:szCs w:val="24"/>
        </w:rPr>
      </w:pPr>
      <w:r w:rsidRPr="00E12CFD">
        <w:rPr>
          <w:rFonts w:cs="Times New Roman"/>
          <w:szCs w:val="24"/>
        </w:rPr>
        <w:t xml:space="preserve">As discussed in previous observations, security demands are the primary source of stress that have been studied under the SRS, ISS, and security compliance burnout research. Exclusively deduced from the technostress literature, prior stress conceptualization in InfoSec concentrates on situations where security demands are considered complex, uncertain, creating work overload, and causing invasions of privacy </w:t>
      </w:r>
      <w:r>
        <w:rPr>
          <w:rFonts w:cs="Times New Roman"/>
          <w:noProof/>
          <w:szCs w:val="24"/>
        </w:rPr>
        <w:t>(Ament &amp; Haag, 2016a; D'Arcy et al., 2014; D'Arcy et al., 2018; Hwang &amp; Cha, 2018; Lee et al., 2016)</w:t>
      </w:r>
      <w:r w:rsidRPr="00E12CFD">
        <w:rPr>
          <w:rFonts w:cs="Times New Roman"/>
          <w:szCs w:val="24"/>
        </w:rPr>
        <w:t xml:space="preserve">. </w:t>
      </w:r>
    </w:p>
    <w:p w14:paraId="2F07BE0D" w14:textId="77777777" w:rsidR="003E5B95" w:rsidRPr="00E12CFD" w:rsidRDefault="003E5B95" w:rsidP="003E5B95">
      <w:pPr>
        <w:rPr>
          <w:rFonts w:cs="Times New Roman"/>
          <w:szCs w:val="24"/>
        </w:rPr>
      </w:pPr>
      <w:r w:rsidRPr="00E12CFD">
        <w:rPr>
          <w:rFonts w:cs="Times New Roman"/>
          <w:szCs w:val="24"/>
        </w:rPr>
        <w:lastRenderedPageBreak/>
        <w:t xml:space="preserve">Other less studied but relevant security demands are conflict, security-related news, and security technology. Each can be categorized under a broad umbrella of security requirements </w:t>
      </w:r>
      <w:r>
        <w:rPr>
          <w:rFonts w:cs="Times New Roman"/>
          <w:noProof/>
          <w:szCs w:val="24"/>
        </w:rPr>
        <w:t>(Ament &amp; Haag, 2016a; Hwang &amp; Cha, 2018)</w:t>
      </w:r>
      <w:r w:rsidRPr="00E12CFD">
        <w:rPr>
          <w:rFonts w:cs="Times New Roman"/>
          <w:szCs w:val="24"/>
        </w:rPr>
        <w:t xml:space="preserve">. Conflict arises from several perspectives, but the one relevant within the InfoSec context is conflict from workplace instructions. When instructions from a supervisor or coworkers are not in line with the organization’s established security requirements, conflicts may occur. Moreover, security-related news, such as the news of a data breach, unauthorized access to data, or the misuse of sensitive and private information, represent another demand imposed on employees and can serve as a source of SRS. </w:t>
      </w:r>
    </w:p>
    <w:p w14:paraId="5712B51D" w14:textId="77777777" w:rsidR="003E5B95" w:rsidRPr="00E12CFD" w:rsidRDefault="003E5B95" w:rsidP="003E5B95">
      <w:pPr>
        <w:pStyle w:val="Heading2"/>
        <w:rPr>
          <w:bCs/>
        </w:rPr>
      </w:pPr>
      <w:bookmarkStart w:id="106" w:name="_Toc73602053"/>
      <w:bookmarkStart w:id="107" w:name="_Toc74045222"/>
      <w:bookmarkStart w:id="108" w:name="_Toc74087507"/>
      <w:bookmarkStart w:id="109" w:name="_Toc74258623"/>
      <w:r w:rsidRPr="00E12CFD">
        <w:rPr>
          <w:bCs/>
        </w:rPr>
        <w:t xml:space="preserve">Observation 4: </w:t>
      </w:r>
      <w:r w:rsidRPr="00E12CFD">
        <w:t>The current research available to inform the study of stress among cybersecurity professionals</w:t>
      </w:r>
      <w:r w:rsidRPr="00E12CFD">
        <w:rPr>
          <w:bCs/>
        </w:rPr>
        <w:t xml:space="preserve"> has mostly construed stress as a negative phenomenon</w:t>
      </w:r>
      <w:bookmarkEnd w:id="106"/>
      <w:bookmarkEnd w:id="107"/>
      <w:bookmarkEnd w:id="108"/>
      <w:bookmarkEnd w:id="109"/>
      <w:r w:rsidRPr="00E12CFD">
        <w:rPr>
          <w:bCs/>
        </w:rPr>
        <w:t xml:space="preserve"> </w:t>
      </w:r>
    </w:p>
    <w:p w14:paraId="03BB02D0" w14:textId="77777777" w:rsidR="003E5B95" w:rsidRPr="00E12CFD" w:rsidRDefault="003E5B95" w:rsidP="003E5B95">
      <w:pPr>
        <w:rPr>
          <w:rFonts w:cs="Times New Roman"/>
          <w:szCs w:val="24"/>
        </w:rPr>
      </w:pPr>
      <w:r w:rsidRPr="00E12CFD">
        <w:rPr>
          <w:rFonts w:cs="Times New Roman"/>
          <w:szCs w:val="24"/>
        </w:rPr>
        <w:t xml:space="preserve">Our broad observation of the stress research reveals that stress has been conceptualized almost exclusively as a negative phenomenon. This is evident by the negative psychological responses, such as frustration, fatigue, distress, burnout, information policy noncompliance, and job turnover </w:t>
      </w:r>
      <w:r>
        <w:rPr>
          <w:rFonts w:cs="Times New Roman"/>
          <w:noProof/>
          <w:szCs w:val="24"/>
        </w:rPr>
        <w:t>(Ahuja et al., 2007; Armstrong et al., 2015; Ayyagari et al., 2011; D'Arcy et al., 2014; D'Arcy et al., 2018; D’Arcy &amp; Teh, 2019; Galluch et al., 2015; Tams et al., 2020; Tarafdar et al., 2017; Tarafdar, Gupta, et al., 2015; Tarafdar, Pullins, et al., 2015)</w:t>
      </w:r>
      <w:r w:rsidRPr="00E12CFD">
        <w:rPr>
          <w:rFonts w:cs="Times New Roman"/>
          <w:szCs w:val="24"/>
        </w:rPr>
        <w:t xml:space="preserve">. However, stress research suggests that a demand can result in both positive and negative stress responses and stress-related outcomes, depending on the manner in which the demand is being apprised </w:t>
      </w:r>
      <w:r>
        <w:rPr>
          <w:rFonts w:cs="Times New Roman"/>
          <w:noProof/>
          <w:szCs w:val="24"/>
        </w:rPr>
        <w:t>(Beaudry &amp; Pinsonneault, 2005; Cooper et al., 2001; Simmons &amp; Nelson, 2007)</w:t>
      </w:r>
      <w:r w:rsidRPr="00E12CFD">
        <w:rPr>
          <w:rFonts w:cs="Times New Roman"/>
          <w:szCs w:val="24"/>
        </w:rPr>
        <w:t xml:space="preserve">. </w:t>
      </w:r>
    </w:p>
    <w:p w14:paraId="3867A0E8" w14:textId="77777777" w:rsidR="003E5B95" w:rsidRPr="00E12CFD" w:rsidRDefault="003E5B95" w:rsidP="003E5B95">
      <w:pPr>
        <w:rPr>
          <w:rFonts w:cs="Times New Roman"/>
          <w:szCs w:val="24"/>
        </w:rPr>
      </w:pPr>
      <w:r w:rsidRPr="00E12CFD">
        <w:rPr>
          <w:rFonts w:cs="Times New Roman"/>
          <w:szCs w:val="24"/>
        </w:rPr>
        <w:t xml:space="preserve">The positive side of stress has gained recent attention in IS research </w:t>
      </w:r>
      <w:r>
        <w:rPr>
          <w:rFonts w:cs="Times New Roman"/>
          <w:noProof/>
          <w:szCs w:val="24"/>
        </w:rPr>
        <w:t>(Califf et al., 2020)</w:t>
      </w:r>
      <w:r w:rsidRPr="00E12CFD">
        <w:rPr>
          <w:rFonts w:cs="Times New Roman"/>
          <w:szCs w:val="24"/>
        </w:rPr>
        <w:t xml:space="preserve">. Also, in the SRS context, Ament and Haag (2016a) note that some aspects of SRS have a positive effect on employee’s ISP compliance intention. Specifically, Ament and Haag (2016a) find that stressors from employees’ social environments (such as conflict with coworkers on </w:t>
      </w:r>
      <w:r w:rsidRPr="00E12CFD">
        <w:rPr>
          <w:rFonts w:cs="Times New Roman"/>
          <w:szCs w:val="24"/>
        </w:rPr>
        <w:lastRenderedPageBreak/>
        <w:t xml:space="preserve">security issues and news such as a data breach) positively influence stress-related outcomes, whereas negative stressors in an employee’s work environment (SRS complexity, SRS uncertainty, and SRS overload) and invasions of privacy negatively influence ISP compliance. Conflicts with peers or supervisors can be constructive, where employees with adequate InfoSec knowledge can provide constructive criticism when their organization’s security is at risk. </w:t>
      </w:r>
    </w:p>
    <w:p w14:paraId="7A94B8B9" w14:textId="588F671B" w:rsidR="003E5B95" w:rsidRPr="00E12CFD" w:rsidRDefault="003E5B95" w:rsidP="003E5B95">
      <w:pPr>
        <w:rPr>
          <w:rFonts w:cs="Times New Roman"/>
          <w:szCs w:val="24"/>
        </w:rPr>
      </w:pPr>
      <w:r w:rsidRPr="00E12CFD">
        <w:rPr>
          <w:rFonts w:cs="Times New Roman"/>
          <w:szCs w:val="24"/>
        </w:rPr>
        <w:t xml:space="preserve">When employees consider security demands challenging, they spend time learning and understanding the technology and security requirements; in this case, their level of burnout tends to be lower </w:t>
      </w:r>
      <w:r>
        <w:rPr>
          <w:rFonts w:cs="Times New Roman"/>
          <w:noProof/>
          <w:szCs w:val="24"/>
        </w:rPr>
        <w:t>(Pham, 2019)</w:t>
      </w:r>
      <w:r w:rsidRPr="00E12CFD">
        <w:rPr>
          <w:rFonts w:cs="Times New Roman"/>
          <w:szCs w:val="24"/>
        </w:rPr>
        <w:t xml:space="preserve">. Positive stress responses can be assumed from cybersecurity professionals if they are provided with the appropriate resources, training, education, and so forth </w:t>
      </w:r>
      <w:r>
        <w:rPr>
          <w:rFonts w:cs="Times New Roman"/>
          <w:noProof/>
          <w:szCs w:val="24"/>
        </w:rPr>
        <w:t>(Helkala et al., 2016; Lundgren &amp; Bergström, 2019)</w:t>
      </w:r>
      <w:r w:rsidRPr="00E12CFD">
        <w:rPr>
          <w:rFonts w:cs="Times New Roman"/>
          <w:szCs w:val="24"/>
        </w:rPr>
        <w:t xml:space="preserve">. In InfoSec, the motivating factors for employees to engage in secure protective behavior are their commitment to their organization, a sense of personal responsibility, an obligation in protecting their organization’s information assets, their pride in themselves, in their profession, and a sense of personal responsibility </w:t>
      </w:r>
      <w:r>
        <w:rPr>
          <w:rFonts w:cs="Times New Roman"/>
          <w:noProof/>
          <w:szCs w:val="24"/>
        </w:rPr>
        <w:t>(Posey et al., 2014)</w:t>
      </w:r>
      <w:r w:rsidRPr="00E12CFD">
        <w:rPr>
          <w:rFonts w:cs="Times New Roman"/>
          <w:szCs w:val="24"/>
        </w:rPr>
        <w:t>. For these reasons, security demands or organizations’ security efforts can also be challenging and motivating, leading to potentially positive outcomes. To date, this positive perspective of stress has mostly been absent from stress research in the context of InfoSec.</w:t>
      </w:r>
    </w:p>
    <w:p w14:paraId="367F863F" w14:textId="77777777" w:rsidR="003E5B95" w:rsidRPr="00E12CFD" w:rsidRDefault="003E5B95" w:rsidP="003E5B95">
      <w:pPr>
        <w:pStyle w:val="Heading2"/>
        <w:rPr>
          <w:bCs/>
        </w:rPr>
      </w:pPr>
      <w:bookmarkStart w:id="110" w:name="_Toc73602054"/>
      <w:bookmarkStart w:id="111" w:name="_Toc74045223"/>
      <w:bookmarkStart w:id="112" w:name="_Toc74087508"/>
      <w:bookmarkStart w:id="113" w:name="_Toc74258624"/>
      <w:r w:rsidRPr="00E12CFD">
        <w:rPr>
          <w:bCs/>
        </w:rPr>
        <w:t>Observation 5: The process for how environmental demands are appraised is underdeveloped in t</w:t>
      </w:r>
      <w:r w:rsidRPr="00E12CFD">
        <w:t>he current research when it comes to informing the study of stress among cybersecurity professionals</w:t>
      </w:r>
      <w:bookmarkEnd w:id="110"/>
      <w:bookmarkEnd w:id="111"/>
      <w:bookmarkEnd w:id="112"/>
      <w:bookmarkEnd w:id="113"/>
      <w:r w:rsidRPr="00E12CFD">
        <w:rPr>
          <w:bCs/>
        </w:rPr>
        <w:t xml:space="preserve"> </w:t>
      </w:r>
    </w:p>
    <w:p w14:paraId="554DEE3C" w14:textId="3400956F" w:rsidR="003E5B95" w:rsidRPr="00E12CFD" w:rsidRDefault="003E5B95" w:rsidP="003E5B95">
      <w:pPr>
        <w:rPr>
          <w:rFonts w:cs="Times New Roman"/>
          <w:szCs w:val="24"/>
        </w:rPr>
      </w:pPr>
      <w:r w:rsidRPr="00E12CFD">
        <w:rPr>
          <w:rFonts w:cs="Times New Roman"/>
          <w:szCs w:val="24"/>
        </w:rPr>
        <w:t xml:space="preserve">Regardless of the theoretical underpinning, a broad notion of the cognitive stress paradigm is that individuals cognitively appraise environmental demands </w:t>
      </w:r>
      <w:r>
        <w:rPr>
          <w:rFonts w:cs="Times New Roman"/>
          <w:noProof/>
          <w:szCs w:val="24"/>
        </w:rPr>
        <w:t>(Fox et al., 1993; Lazarus &amp; Folkman, 1984)</w:t>
      </w:r>
      <w:r w:rsidRPr="00E12CFD">
        <w:rPr>
          <w:rFonts w:cs="Times New Roman"/>
          <w:szCs w:val="24"/>
        </w:rPr>
        <w:t xml:space="preserve">. However, the stress literature applicable to the study of stress among cybersecurity professionals suggests that demand appraisals have been given limited attention </w:t>
      </w:r>
      <w:r w:rsidRPr="00E12CFD">
        <w:rPr>
          <w:rFonts w:cs="Times New Roman"/>
          <w:szCs w:val="24"/>
        </w:rPr>
        <w:lastRenderedPageBreak/>
        <w:t>among scholars (see Appendix C</w:t>
      </w:r>
      <w:r>
        <w:rPr>
          <w:rFonts w:cs="Times New Roman"/>
          <w:szCs w:val="24"/>
        </w:rPr>
        <w:t>, Table C1 for synthesis of stress research in IS</w:t>
      </w:r>
      <w:r w:rsidRPr="00E12CFD">
        <w:rPr>
          <w:rFonts w:cs="Times New Roman"/>
          <w:szCs w:val="24"/>
        </w:rPr>
        <w:t xml:space="preserve">). When attended to, demand appraisals have been explained primarily through one of three theoretical lenses (transactional theory of stress, P-E fit theory, and cybernetic theory), in which individuals perform a subjective evaluation of their environment in terms of opportunity or threat </w:t>
      </w:r>
      <w:r>
        <w:rPr>
          <w:rFonts w:cs="Times New Roman"/>
          <w:noProof/>
          <w:szCs w:val="24"/>
        </w:rPr>
        <w:t>(D'Arcy et al., 2014; D'Arcy et al., 2018; Elie-Dit-Cosaque &amp; Straub, 2011; Galluch et al., 2015; Gaudioso et al., 2017; Liang et al., 2019)</w:t>
      </w:r>
      <w:r w:rsidRPr="00E12CFD">
        <w:rPr>
          <w:rFonts w:cs="Times New Roman"/>
          <w:szCs w:val="24"/>
        </w:rPr>
        <w:t xml:space="preserve">, (mis)fit </w:t>
      </w:r>
      <w:r>
        <w:rPr>
          <w:rFonts w:cs="Times New Roman"/>
          <w:noProof/>
          <w:szCs w:val="24"/>
        </w:rPr>
        <w:t>(Ayyagari et al., 2011; Chilton et al., 2005; Stich et al., 2019b; Tobler et al., 2017)</w:t>
      </w:r>
      <w:r w:rsidRPr="00E12CFD">
        <w:rPr>
          <w:rFonts w:cs="Times New Roman"/>
          <w:szCs w:val="24"/>
        </w:rPr>
        <w:t xml:space="preserve">, or (in)equilibrium </w:t>
      </w:r>
      <w:r>
        <w:rPr>
          <w:rFonts w:cs="Times New Roman"/>
          <w:noProof/>
          <w:szCs w:val="24"/>
        </w:rPr>
        <w:t>(Stich et al., 2019a)</w:t>
      </w:r>
      <w:r w:rsidRPr="00E12CFD">
        <w:rPr>
          <w:rFonts w:cs="Times New Roman"/>
          <w:szCs w:val="24"/>
        </w:rPr>
        <w:t xml:space="preserve">. </w:t>
      </w:r>
    </w:p>
    <w:p w14:paraId="29B95B59" w14:textId="03B022D1" w:rsidR="003E5B95" w:rsidRPr="00E12CFD" w:rsidRDefault="003E5B95" w:rsidP="003E5B95">
      <w:pPr>
        <w:rPr>
          <w:rFonts w:cs="Times New Roman"/>
          <w:szCs w:val="24"/>
        </w:rPr>
      </w:pPr>
      <w:r w:rsidRPr="00E12CFD">
        <w:rPr>
          <w:rFonts w:cs="Times New Roman"/>
          <w:szCs w:val="24"/>
        </w:rPr>
        <w:t xml:space="preserve">However, what has lacked the most attention is the explanation of the factors that may influence the demand appraisal process and how certain factors are more influential, creating a threat or hindrance perception of demand. However, some earlier research suggests that age, gender, and personality differences can play an influential role in the stress process, but we have an underdeveloped understanding of how these differences affect one’s appraisal of demands </w:t>
      </w:r>
      <w:r>
        <w:rPr>
          <w:rFonts w:cs="Times New Roman"/>
          <w:noProof/>
          <w:szCs w:val="24"/>
        </w:rPr>
        <w:t>(Hwang &amp; Cha, 2018; Lazarus &amp; Folkman, 1987; Maier et al., 2019; Ragu-Nathan et al., 2008; Srivastava et al., 2015; Tams et al., 2017)</w:t>
      </w:r>
      <w:r w:rsidRPr="00E12CFD">
        <w:rPr>
          <w:rFonts w:cs="Times New Roman"/>
          <w:szCs w:val="24"/>
        </w:rPr>
        <w:t xml:space="preserve">. Most research that has considered individual differences has shown how these differences affect the overall experience of stress but not the influence on the appraisal process itself. For example, Ragu-Nathan et al. (2008) show that men experience high levels of technostress as compared with women, and technostress decreases with increasing age, computer confidence, and education. Maier et al. (2019) show that younger people have a higher level of IT mindfulness and experience a lower level of technostress. Hwang and Cha (2018) note that employees who are highly focused on the promotional aspects of their jobs experience lower levels of role stress induced by security-related technostress creators, which differentially affect their InfoSec policy compliance intentions. </w:t>
      </w:r>
      <w:proofErr w:type="spellStart"/>
      <w:r w:rsidRPr="00E12CFD">
        <w:rPr>
          <w:rFonts w:cs="Times New Roman"/>
          <w:szCs w:val="24"/>
        </w:rPr>
        <w:t>McCormac</w:t>
      </w:r>
      <w:proofErr w:type="spellEnd"/>
      <w:r w:rsidRPr="00E12CFD">
        <w:rPr>
          <w:rFonts w:cs="Times New Roman"/>
          <w:szCs w:val="24"/>
        </w:rPr>
        <w:t xml:space="preserve"> et al. (2018) note that people with a high level of resiliency, which is defined as an individual’s ability </w:t>
      </w:r>
      <w:r w:rsidRPr="00E12CFD">
        <w:rPr>
          <w:rFonts w:cs="Times New Roman"/>
          <w:szCs w:val="24"/>
        </w:rPr>
        <w:lastRenderedPageBreak/>
        <w:t xml:space="preserve">to recover from stressful events, experience a low level of job stress and are better able to cope with stressful events </w:t>
      </w:r>
      <w:r>
        <w:rPr>
          <w:rFonts w:cs="Times New Roman"/>
          <w:noProof/>
          <w:szCs w:val="24"/>
        </w:rPr>
        <w:t>(McCormac et al., 2018)</w:t>
      </w:r>
      <w:r w:rsidRPr="00E12CFD">
        <w:rPr>
          <w:rFonts w:cs="Times New Roman"/>
          <w:szCs w:val="24"/>
        </w:rPr>
        <w:t xml:space="preserve">. Overall, prior research has indicated that individual differences play a role in the stress process </w:t>
      </w:r>
      <w:r>
        <w:rPr>
          <w:rFonts w:cs="Times New Roman"/>
          <w:noProof/>
          <w:szCs w:val="24"/>
        </w:rPr>
        <w:t>(Maier et al., 2019; Srivastava et al., 2015)</w:t>
      </w:r>
      <w:r w:rsidRPr="00E12CFD">
        <w:rPr>
          <w:rFonts w:cs="Times New Roman"/>
          <w:szCs w:val="24"/>
        </w:rPr>
        <w:t xml:space="preserve">; however, it is </w:t>
      </w:r>
      <w:r w:rsidR="00FE2548">
        <w:rPr>
          <w:rFonts w:cs="Times New Roman"/>
          <w:szCs w:val="24"/>
        </w:rPr>
        <w:t>unclear</w:t>
      </w:r>
      <w:r w:rsidRPr="00E12CFD">
        <w:rPr>
          <w:rFonts w:cs="Times New Roman"/>
          <w:szCs w:val="24"/>
        </w:rPr>
        <w:t xml:space="preserve"> how these differences affect the demand appraisal process in the first place.</w:t>
      </w:r>
    </w:p>
    <w:p w14:paraId="46F24038" w14:textId="77777777" w:rsidR="003E5B95" w:rsidRPr="00E12CFD" w:rsidRDefault="003E5B95" w:rsidP="003E5B95">
      <w:pPr>
        <w:pStyle w:val="Heading2"/>
      </w:pPr>
      <w:bookmarkStart w:id="114" w:name="_Toc73602055"/>
      <w:bookmarkStart w:id="115" w:name="_Toc74045224"/>
      <w:bookmarkStart w:id="116" w:name="_Toc74087509"/>
      <w:bookmarkStart w:id="117" w:name="_Toc74258625"/>
      <w:r w:rsidRPr="00E12CFD">
        <w:rPr>
          <w:bCs/>
        </w:rPr>
        <w:t xml:space="preserve">Observation 6: </w:t>
      </w:r>
      <w:r w:rsidRPr="00E12CFD">
        <w:t xml:space="preserve">The current research available to inform the study of stress among cybersecurity professionals does not suffer from a </w:t>
      </w:r>
      <w:r w:rsidRPr="00E12CFD">
        <w:rPr>
          <w:bCs/>
        </w:rPr>
        <w:t>lack of theoretical pluralism</w:t>
      </w:r>
      <w:bookmarkEnd w:id="114"/>
      <w:bookmarkEnd w:id="115"/>
      <w:bookmarkEnd w:id="116"/>
      <w:bookmarkEnd w:id="117"/>
      <w:r w:rsidRPr="00E12CFD">
        <w:rPr>
          <w:bCs/>
        </w:rPr>
        <w:t xml:space="preserve">   </w:t>
      </w:r>
    </w:p>
    <w:p w14:paraId="56968AD8" w14:textId="3525313B" w:rsidR="003E5B95" w:rsidRPr="00E12CFD" w:rsidRDefault="003E5B95" w:rsidP="003E5B95">
      <w:pPr>
        <w:rPr>
          <w:rFonts w:cs="Times New Roman"/>
          <w:szCs w:val="24"/>
        </w:rPr>
      </w:pPr>
      <w:r w:rsidRPr="00E12CFD">
        <w:rPr>
          <w:rFonts w:cs="Times New Roman"/>
          <w:szCs w:val="24"/>
        </w:rPr>
        <w:t>Even though research on the topic of stress among cybersecurity professionals and in the broader context of InfoSec is still developing, we have found richness in the theoretical perspectives used. This is a somewhat surprising observation</w:t>
      </w:r>
      <w:r w:rsidR="005B43E6">
        <w:rPr>
          <w:rFonts w:cs="Times New Roman"/>
          <w:szCs w:val="24"/>
        </w:rPr>
        <w:t>,</w:t>
      </w:r>
      <w:r w:rsidRPr="00E12CFD">
        <w:rPr>
          <w:rFonts w:cs="Times New Roman"/>
          <w:szCs w:val="24"/>
        </w:rPr>
        <w:t xml:space="preserve"> given that a lack of theoretical richness has been suggested as a limitation of the technostress literature </w:t>
      </w:r>
      <w:r>
        <w:rPr>
          <w:rFonts w:cs="Times New Roman"/>
          <w:noProof/>
          <w:szCs w:val="24"/>
        </w:rPr>
        <w:t>(Tarafdar et al., 2017)</w:t>
      </w:r>
      <w:r w:rsidRPr="00E12CFD">
        <w:rPr>
          <w:rFonts w:cs="Times New Roman"/>
          <w:szCs w:val="24"/>
        </w:rPr>
        <w:t xml:space="preserve">. Yet to its credit, the research that would be applicable to inform a study of stress among cybersecurity professionals exhibits no such limitations and should provide a robust theoretical spectrum from which to conduct future research. In this regard, we find that theories such as moral disengagement theory (MDT) and coping theory, person–organization (P-O) fit theory, and transactional theory of stress have been used to explore SRS- and ISS-related phenomena, respectively </w:t>
      </w:r>
      <w:r>
        <w:rPr>
          <w:rFonts w:cs="Times New Roman"/>
          <w:noProof/>
          <w:szCs w:val="24"/>
        </w:rPr>
        <w:t>(D'Arcy et al., 2014; Lee et al., 2016)</w:t>
      </w:r>
      <w:r w:rsidRPr="00E12CFD">
        <w:rPr>
          <w:rFonts w:cs="Times New Roman"/>
          <w:szCs w:val="24"/>
        </w:rPr>
        <w:t xml:space="preserve">. Further, affective event theory and coping theory have been applied to understand how security demands can be conceptualized as hindrance stressors </w:t>
      </w:r>
      <w:r>
        <w:rPr>
          <w:rFonts w:cs="Times New Roman"/>
          <w:noProof/>
          <w:szCs w:val="24"/>
        </w:rPr>
        <w:t>(D’Arcy &amp; Teh, 2019)</w:t>
      </w:r>
      <w:r w:rsidRPr="00E12CFD">
        <w:rPr>
          <w:rFonts w:cs="Times New Roman"/>
          <w:szCs w:val="24"/>
        </w:rPr>
        <w:t xml:space="preserve">, and the job demands-resource model has been used to explain information security compliance burnout </w:t>
      </w:r>
      <w:r>
        <w:rPr>
          <w:rFonts w:cs="Times New Roman"/>
          <w:noProof/>
          <w:szCs w:val="24"/>
        </w:rPr>
        <w:t>(Pham et al., 2016; Pham, 2019)</w:t>
      </w:r>
      <w:r w:rsidRPr="00E12CFD">
        <w:rPr>
          <w:rFonts w:cs="Times New Roman"/>
          <w:szCs w:val="24"/>
        </w:rPr>
        <w:t xml:space="preserve">. </w:t>
      </w:r>
    </w:p>
    <w:p w14:paraId="68596CE3" w14:textId="4D714541" w:rsidR="003E5B95" w:rsidRPr="00E12CFD" w:rsidRDefault="003E5B95" w:rsidP="003E5B95">
      <w:pPr>
        <w:rPr>
          <w:rFonts w:cs="Times New Roman"/>
          <w:szCs w:val="24"/>
        </w:rPr>
      </w:pPr>
      <w:r w:rsidRPr="00E12CFD">
        <w:rPr>
          <w:rFonts w:cs="Times New Roman"/>
          <w:szCs w:val="24"/>
        </w:rPr>
        <w:t xml:space="preserve">In summary, our review presents some shortcomings of the </w:t>
      </w:r>
      <w:r w:rsidR="005B43E6">
        <w:rPr>
          <w:rFonts w:cs="Times New Roman"/>
          <w:szCs w:val="24"/>
        </w:rPr>
        <w:t>recent</w:t>
      </w:r>
      <w:r w:rsidRPr="00E12CFD">
        <w:rPr>
          <w:rFonts w:cs="Times New Roman"/>
          <w:szCs w:val="24"/>
        </w:rPr>
        <w:t xml:space="preserve"> stress research as it applies to cybersecurity professionals; however, the insights provided by </w:t>
      </w:r>
      <w:r w:rsidR="005B43E6">
        <w:rPr>
          <w:rFonts w:cs="Times New Roman"/>
          <w:szCs w:val="24"/>
        </w:rPr>
        <w:t>recent</w:t>
      </w:r>
      <w:r w:rsidRPr="00E12CFD">
        <w:rPr>
          <w:rFonts w:cs="Times New Roman"/>
          <w:szCs w:val="24"/>
        </w:rPr>
        <w:t xml:space="preserve"> research serve to build and improve future research in the cybersecurity profession. In the next section, we build on our </w:t>
      </w:r>
      <w:r w:rsidRPr="00E12CFD">
        <w:rPr>
          <w:rFonts w:cs="Times New Roman"/>
          <w:szCs w:val="24"/>
        </w:rPr>
        <w:lastRenderedPageBreak/>
        <w:t xml:space="preserve">observations and provide guidance to develop future research for the stress experienced by cybersecurity professionals. </w:t>
      </w:r>
    </w:p>
    <w:p w14:paraId="49B33A4C" w14:textId="77777777" w:rsidR="003E5B95" w:rsidRPr="003E5B95" w:rsidRDefault="003E5B95" w:rsidP="003E5B95">
      <w:pPr>
        <w:pStyle w:val="Heading1"/>
        <w:rPr>
          <w:b/>
          <w:bCs/>
        </w:rPr>
      </w:pPr>
      <w:bookmarkStart w:id="118" w:name="_Toc73602056"/>
      <w:bookmarkStart w:id="119" w:name="_Toc74045225"/>
      <w:bookmarkStart w:id="120" w:name="_Toc74087510"/>
      <w:bookmarkStart w:id="121" w:name="_Toc74258626"/>
      <w:r w:rsidRPr="003E5B95">
        <w:rPr>
          <w:b/>
          <w:bCs/>
        </w:rPr>
        <w:t>FUTURE RESEARCH OPPORTUNITIES</w:t>
      </w:r>
      <w:bookmarkEnd w:id="118"/>
      <w:bookmarkEnd w:id="119"/>
      <w:bookmarkEnd w:id="120"/>
      <w:bookmarkEnd w:id="121"/>
    </w:p>
    <w:p w14:paraId="7BD05CC8" w14:textId="77777777" w:rsidR="003E5B95" w:rsidRPr="00E12CFD" w:rsidRDefault="003E5B95" w:rsidP="003E5B95">
      <w:pPr>
        <w:keepNext/>
        <w:rPr>
          <w:rFonts w:cs="Times New Roman"/>
          <w:szCs w:val="24"/>
        </w:rPr>
      </w:pPr>
      <w:r w:rsidRPr="00E12CFD">
        <w:rPr>
          <w:rFonts w:cs="Times New Roman"/>
          <w:szCs w:val="24"/>
        </w:rPr>
        <w:t xml:space="preserve">In this section, we present opportunities for future research based on the observations presented in the previous section. </w:t>
      </w:r>
    </w:p>
    <w:p w14:paraId="0384696F" w14:textId="77777777" w:rsidR="003E5B95" w:rsidRPr="00E12CFD" w:rsidRDefault="003E5B95" w:rsidP="003E5B95">
      <w:pPr>
        <w:pStyle w:val="Heading2"/>
      </w:pPr>
      <w:bookmarkStart w:id="122" w:name="_Toc73602057"/>
      <w:bookmarkStart w:id="123" w:name="_Toc74045226"/>
      <w:bookmarkStart w:id="124" w:name="_Toc74087511"/>
      <w:bookmarkStart w:id="125" w:name="_Toc74258627"/>
      <w:r w:rsidRPr="00E12CFD">
        <w:t>Opportunity 1: Cybersecurity scholars should consider security demands from both negative and positive perspectives</w:t>
      </w:r>
      <w:bookmarkEnd w:id="122"/>
      <w:bookmarkEnd w:id="123"/>
      <w:bookmarkEnd w:id="124"/>
      <w:bookmarkEnd w:id="125"/>
      <w:r w:rsidRPr="00E12CFD">
        <w:t xml:space="preserve"> </w:t>
      </w:r>
    </w:p>
    <w:p w14:paraId="09CD75B5" w14:textId="01317AA5" w:rsidR="003E5B95" w:rsidRDefault="003E5B95" w:rsidP="003E5B95">
      <w:pPr>
        <w:rPr>
          <w:rFonts w:cs="Times New Roman"/>
          <w:szCs w:val="24"/>
        </w:rPr>
      </w:pPr>
      <w:r w:rsidRPr="00E12CFD">
        <w:rPr>
          <w:rFonts w:cs="Times New Roman"/>
          <w:szCs w:val="24"/>
        </w:rPr>
        <w:t xml:space="preserve">As mentioned in Observation 4, prior research has primarily focused on the negative or dark side of the stress phenomenon. By suggesting that scholars give equal attention to the positive aspects of stress, we call for research exploring the security demands appraised by cybersecurity professionals as motivating or encouraging in their efforts to achieve positive outcomes, such as performance gains </w:t>
      </w:r>
      <w:r>
        <w:rPr>
          <w:rFonts w:cs="Times New Roman"/>
          <w:noProof/>
          <w:szCs w:val="24"/>
        </w:rPr>
        <w:t>(Chen &amp; Karahanna, 2018)</w:t>
      </w:r>
      <w:r w:rsidRPr="00E12CFD">
        <w:rPr>
          <w:rFonts w:cs="Times New Roman"/>
          <w:szCs w:val="24"/>
        </w:rPr>
        <w:t>. Pursuant to this opportunity, scholars should consider theorizing using the CHF</w:t>
      </w:r>
      <w:r w:rsidRPr="00E12CFD">
        <w:rPr>
          <w:vertAlign w:val="superscript"/>
        </w:rPr>
        <w:footnoteReference w:id="2"/>
      </w:r>
      <w:r w:rsidRPr="00E12CFD">
        <w:rPr>
          <w:rFonts w:cs="Times New Roman"/>
          <w:szCs w:val="24"/>
        </w:rPr>
        <w:t xml:space="preserve"> proposed by Cavanaugh et al. (2000). Although the initial conceptualization of the CHF does not present an appraisal process by which demands are appraised as either challenge or hindrance stressors, it does place challenge stressors on an equal footing with hindrance stressors </w:t>
      </w:r>
      <w:r>
        <w:rPr>
          <w:rFonts w:cs="Times New Roman"/>
          <w:noProof/>
          <w:szCs w:val="24"/>
        </w:rPr>
        <w:t>(Zhang et al., 2014)</w:t>
      </w:r>
      <w:r w:rsidRPr="00E12CFD">
        <w:rPr>
          <w:rFonts w:cs="Times New Roman"/>
          <w:szCs w:val="24"/>
        </w:rPr>
        <w:t>. Initial conceptualizations of the CHF have suggested that certain demands have a higher propensity to be appraised as challenge stressors (such as the number of projects, amount, and scope of responsibility), whereas certain demands have a higher tendency to be appraised as hindrance stressors (such as organizational politics). However, advancements in CHF research suggest that challenge</w:t>
      </w:r>
      <w:r w:rsidR="005B43E6">
        <w:rPr>
          <w:rFonts w:cs="Times New Roman"/>
          <w:szCs w:val="24"/>
        </w:rPr>
        <w:t xml:space="preserve">, </w:t>
      </w:r>
      <w:r w:rsidRPr="00E12CFD">
        <w:rPr>
          <w:rFonts w:cs="Times New Roman"/>
          <w:szCs w:val="24"/>
        </w:rPr>
        <w:t xml:space="preserve">and hindrance demands follow challenge and hindrance appraisal processes, respectively, whereby challenge demands are </w:t>
      </w:r>
      <w:r w:rsidRPr="00E12CFD">
        <w:rPr>
          <w:rFonts w:cs="Times New Roman"/>
          <w:szCs w:val="24"/>
        </w:rPr>
        <w:lastRenderedPageBreak/>
        <w:t xml:space="preserve">strongly related to challenge appraisals and hindrance demands are more strongly related to hindrance appraisals </w:t>
      </w:r>
      <w:r>
        <w:rPr>
          <w:rFonts w:cs="Times New Roman"/>
          <w:noProof/>
          <w:szCs w:val="24"/>
        </w:rPr>
        <w:t>(LePine et al., 2004; LePine et al., 2016)</w:t>
      </w:r>
      <w:r w:rsidRPr="00E12CFD">
        <w:rPr>
          <w:rFonts w:cs="Times New Roman"/>
          <w:szCs w:val="24"/>
        </w:rPr>
        <w:t xml:space="preserve">. More recently, </w:t>
      </w:r>
      <w:r>
        <w:rPr>
          <w:rFonts w:cs="Times New Roman"/>
          <w:noProof/>
          <w:szCs w:val="24"/>
        </w:rPr>
        <w:t>Califf et al. (2020)</w:t>
      </w:r>
      <w:r>
        <w:rPr>
          <w:rFonts w:cs="Times New Roman"/>
          <w:szCs w:val="24"/>
        </w:rPr>
        <w:t xml:space="preserve"> </w:t>
      </w:r>
      <w:r w:rsidRPr="00E12CFD">
        <w:rPr>
          <w:rFonts w:cs="Times New Roman"/>
          <w:szCs w:val="24"/>
        </w:rPr>
        <w:t>have applied the CHF in the technostress context in IS, where authors show that health IT can serve as a challenge stressor or hindrance stressor.</w:t>
      </w:r>
      <w:r>
        <w:rPr>
          <w:rFonts w:cs="Times New Roman"/>
          <w:szCs w:val="24"/>
        </w:rPr>
        <w:t xml:space="preserve"> </w:t>
      </w:r>
      <w:r w:rsidRPr="00E12CFD">
        <w:rPr>
          <w:rFonts w:cs="Times New Roman"/>
          <w:szCs w:val="24"/>
        </w:rPr>
        <w:t>Based on CHF research efforts that seek to present the security demands faced by cybersecurity professionals from both negative and positive perspectives, some possible research questions for future exploration may include the following: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0"/>
      </w:tblGrid>
      <w:tr w:rsidR="003E5B95" w14:paraId="11123045" w14:textId="77777777" w:rsidTr="003E5B95">
        <w:trPr>
          <w:trHeight w:val="809"/>
        </w:trPr>
        <w:tc>
          <w:tcPr>
            <w:tcW w:w="9350" w:type="dxa"/>
          </w:tcPr>
          <w:p w14:paraId="2A2964F1" w14:textId="77777777" w:rsidR="003E5B95" w:rsidRPr="002F5BAF" w:rsidRDefault="003E5B95" w:rsidP="003E5B95">
            <w:pPr>
              <w:ind w:left="360" w:firstLine="0"/>
              <w:rPr>
                <w:rFonts w:cs="Times New Roman"/>
                <w:szCs w:val="24"/>
              </w:rPr>
            </w:pPr>
            <w:r w:rsidRPr="002F5BAF">
              <w:rPr>
                <w:rFonts w:cs="Times New Roman"/>
                <w:b/>
                <w:bCs/>
                <w:i/>
                <w:szCs w:val="24"/>
              </w:rPr>
              <w:t>RQ1: Which security demands are appraised as challenges or hindrance stressors by cybersecurity professionals?</w:t>
            </w:r>
          </w:p>
        </w:tc>
      </w:tr>
      <w:tr w:rsidR="003E5B95" w14:paraId="02E4D5F9" w14:textId="77777777" w:rsidTr="003E5B95">
        <w:tc>
          <w:tcPr>
            <w:tcW w:w="9350" w:type="dxa"/>
          </w:tcPr>
          <w:p w14:paraId="01D27BD2" w14:textId="77777777" w:rsidR="003E5B95" w:rsidRPr="002F5BAF" w:rsidRDefault="003E5B95" w:rsidP="003E5B95">
            <w:pPr>
              <w:ind w:left="360" w:firstLine="0"/>
              <w:rPr>
                <w:rFonts w:cs="Times New Roman"/>
                <w:szCs w:val="24"/>
              </w:rPr>
            </w:pPr>
            <w:r w:rsidRPr="002F5BAF">
              <w:rPr>
                <w:rFonts w:cs="Times New Roman"/>
                <w:b/>
                <w:bCs/>
                <w:i/>
                <w:szCs w:val="24"/>
              </w:rPr>
              <w:t>RQ2: How do challenge and hindrance appraisals of security demands affect job-related outcomes among cybersecurity professionals?</w:t>
            </w:r>
          </w:p>
        </w:tc>
      </w:tr>
    </w:tbl>
    <w:p w14:paraId="1FF16B28" w14:textId="77777777" w:rsidR="003E5B95" w:rsidRPr="00E12CFD" w:rsidRDefault="003E5B95" w:rsidP="003E5B95">
      <w:pPr>
        <w:pStyle w:val="Heading2"/>
      </w:pPr>
      <w:bookmarkStart w:id="126" w:name="_Toc73602058"/>
      <w:bookmarkStart w:id="127" w:name="_Toc74045227"/>
      <w:bookmarkStart w:id="128" w:name="_Toc74087512"/>
      <w:bookmarkStart w:id="129" w:name="_Toc74258628"/>
      <w:r w:rsidRPr="00E12CFD">
        <w:t>Opportunity 2: Cybersecurity scholars should further explore the appraisal process that cybersecurity professionals follow in assessing security demands</w:t>
      </w:r>
      <w:bookmarkEnd w:id="126"/>
      <w:bookmarkEnd w:id="127"/>
      <w:bookmarkEnd w:id="128"/>
      <w:bookmarkEnd w:id="129"/>
      <w:r w:rsidRPr="00E12CFD">
        <w:t xml:space="preserve"> </w:t>
      </w:r>
    </w:p>
    <w:p w14:paraId="0BA8A2C4" w14:textId="3AAD614E" w:rsidR="003E5B95" w:rsidRPr="00E12CFD" w:rsidRDefault="003E5B95" w:rsidP="003E5B95">
      <w:pPr>
        <w:rPr>
          <w:rFonts w:cs="Times New Roman"/>
          <w:szCs w:val="24"/>
        </w:rPr>
      </w:pPr>
      <w:r w:rsidRPr="00E12CFD">
        <w:rPr>
          <w:rFonts w:cs="Times New Roman"/>
          <w:szCs w:val="24"/>
        </w:rPr>
        <w:t xml:space="preserve">As pointed out in Observation 5, the process by which security demands are appraised is not well understood. A demand appraisal process prepares cybersecurity professionals to take actions in the form of stress responses </w:t>
      </w:r>
      <w:r>
        <w:rPr>
          <w:rFonts w:cs="Times New Roman"/>
          <w:noProof/>
          <w:szCs w:val="24"/>
        </w:rPr>
        <w:t>(Lazarus &amp; Folkman, 1987)</w:t>
      </w:r>
      <w:r w:rsidR="005B43E6">
        <w:rPr>
          <w:rFonts w:cs="Times New Roman"/>
          <w:szCs w:val="24"/>
        </w:rPr>
        <w:t xml:space="preserve">. To </w:t>
      </w:r>
      <w:r w:rsidRPr="00E12CFD">
        <w:rPr>
          <w:rFonts w:cs="Times New Roman"/>
          <w:szCs w:val="24"/>
        </w:rPr>
        <w:t xml:space="preserve">understand the impetus for stress responses, it is imperative to first understand how cybersecurity professionals appraise security demands. Although demand appraisal has been recognized and elaborated on in the technology adaptation literature </w:t>
      </w:r>
      <w:r>
        <w:rPr>
          <w:rFonts w:cs="Times New Roman"/>
          <w:noProof/>
          <w:szCs w:val="24"/>
        </w:rPr>
        <w:t>(Beaudry &amp; Pinsonneault, 2005; Beaudry &amp; Pinsonneault, 2010)</w:t>
      </w:r>
      <w:r w:rsidRPr="00E12CFD">
        <w:rPr>
          <w:rFonts w:cs="Times New Roman"/>
          <w:szCs w:val="24"/>
        </w:rPr>
        <w:t xml:space="preserve">, it has gained limited attention among stress research, making it a particularly blue ocean area of study for scholars interested in stress in the cybersecurity profession. </w:t>
      </w:r>
    </w:p>
    <w:p w14:paraId="5F78DEBE" w14:textId="77777777" w:rsidR="003E5B95" w:rsidRPr="00E12CFD" w:rsidRDefault="003E5B95" w:rsidP="003E5B95">
      <w:pPr>
        <w:rPr>
          <w:rFonts w:cs="Times New Roman"/>
          <w:szCs w:val="24"/>
        </w:rPr>
      </w:pPr>
      <w:r w:rsidRPr="00E12CFD">
        <w:rPr>
          <w:rFonts w:cs="Times New Roman"/>
          <w:szCs w:val="24"/>
        </w:rPr>
        <w:t xml:space="preserve">To understand how cybersecurity professionals appraise security demands, it is important to identify the key characteristics of the demands themselves, which weigh in on the appraisal </w:t>
      </w:r>
      <w:r w:rsidRPr="00E12CFD">
        <w:rPr>
          <w:rFonts w:cs="Times New Roman"/>
          <w:szCs w:val="24"/>
        </w:rPr>
        <w:lastRenderedPageBreak/>
        <w:t xml:space="preserve">process, as well as the key characteristics of the organizational environment in which the demands occur and of the cybersecurity professional involved in appraising these demands. It is also important to understand how these characteristics interact in the appraisal process and the methods best suited for testing their interactions. </w:t>
      </w:r>
    </w:p>
    <w:p w14:paraId="3B05F8F0" w14:textId="77777777" w:rsidR="003E5B95" w:rsidRPr="00E12CFD" w:rsidRDefault="003E5B95" w:rsidP="003E5B95">
      <w:pPr>
        <w:rPr>
          <w:rFonts w:cs="Times New Roman"/>
          <w:szCs w:val="24"/>
        </w:rPr>
      </w:pPr>
      <w:r w:rsidRPr="00E12CFD">
        <w:rPr>
          <w:rFonts w:cs="Times New Roman"/>
          <w:szCs w:val="24"/>
        </w:rPr>
        <w:t xml:space="preserve">The security demands required of cybersecurity professionals can be of both a technical and nontechnical nature. Technical security demands are those involving security appliances such as firewalls, antimalware software, security orchestration, automation, and response (SOAR) solutions, security information and event management (SIEM) solutions, and others. Nontechnical security demands involve policies, standards, or other activities designed to support and govern an organization’s security posture. For technical security demands, scholars should consider the characteristics of technology highlighted in the technostress and InfoSec literature, including technical complexity, reliability, interoperability, and false-positive rates </w:t>
      </w:r>
      <w:r>
        <w:rPr>
          <w:rFonts w:cs="Times New Roman"/>
          <w:noProof/>
          <w:szCs w:val="24"/>
        </w:rPr>
        <w:t>(Ayyagari et al., 2011; Cavusoglu et al., 2005)</w:t>
      </w:r>
      <w:r w:rsidRPr="00E12CFD">
        <w:rPr>
          <w:rFonts w:cs="Times New Roman"/>
          <w:szCs w:val="24"/>
        </w:rPr>
        <w:t xml:space="preserve">, as well as others that may not yet have drawn the attention of scholars, such as noise, chattiness, or versatility. For instance, security controls in the form of employee monitoring and surveillance are often seen as invasive and threatening to the privacy of employees </w:t>
      </w:r>
      <w:r>
        <w:rPr>
          <w:rFonts w:cs="Times New Roman"/>
          <w:noProof/>
          <w:szCs w:val="24"/>
        </w:rPr>
        <w:t>(Ament &amp; Haag, 2016a, 2016b; Posey, Bennett, Roberts, et al., 2011)</w:t>
      </w:r>
      <w:r w:rsidRPr="00E12CFD">
        <w:rPr>
          <w:rFonts w:cs="Times New Roman"/>
          <w:szCs w:val="24"/>
        </w:rPr>
        <w:t xml:space="preserve">, creating a burden on cybersecurity professionals to help manage any subsequent resulting employee discord. </w:t>
      </w:r>
    </w:p>
    <w:p w14:paraId="6F2BE7D3" w14:textId="77777777" w:rsidR="003E5B95" w:rsidRPr="00E12CFD" w:rsidRDefault="003E5B95" w:rsidP="003E5B95">
      <w:pPr>
        <w:rPr>
          <w:rFonts w:cs="Times New Roman"/>
          <w:szCs w:val="24"/>
        </w:rPr>
      </w:pPr>
      <w:r w:rsidRPr="00E12CFD">
        <w:rPr>
          <w:rFonts w:cs="Times New Roman"/>
          <w:szCs w:val="24"/>
        </w:rPr>
        <w:t xml:space="preserve">Similarly, scholars should consider the nontechnical security demand characteristics explored in the research on security management and governance. These characteristics might include complexity, invasiveness, or vagueness, among others. For instance, security policies and procedures are often complex because the technical jargon presented in security policies is difficult to understand and requires cybersecurity professionals to spend time and effort to learn </w:t>
      </w:r>
      <w:r w:rsidRPr="00E12CFD">
        <w:rPr>
          <w:rFonts w:cs="Times New Roman"/>
          <w:szCs w:val="24"/>
        </w:rPr>
        <w:lastRenderedPageBreak/>
        <w:t xml:space="preserve">and relearn them. Further, just like their technical counterparts, nontechnical security demands, such as security policies and procedures, may also impose on the privacy of employees </w:t>
      </w:r>
      <w:r>
        <w:rPr>
          <w:rFonts w:cs="Times New Roman"/>
          <w:noProof/>
          <w:szCs w:val="24"/>
        </w:rPr>
        <w:t>(Ament &amp; Haag, 2016a, 2016b; D'Arcy et al., 2014; D’Arcy &amp; Teh, 2019)</w:t>
      </w:r>
      <w:r w:rsidRPr="00E12CFD">
        <w:rPr>
          <w:rFonts w:cs="Times New Roman"/>
          <w:szCs w:val="24"/>
        </w:rPr>
        <w:t xml:space="preserve">, hence generating hostility in the employee workforce that can weigh on the psyche of a cybersecurity professional </w:t>
      </w:r>
      <w:r>
        <w:rPr>
          <w:rFonts w:cs="Times New Roman"/>
          <w:noProof/>
          <w:szCs w:val="24"/>
        </w:rPr>
        <w:t>(Posey, Bennett, Roberts, et al., 2011)</w:t>
      </w:r>
      <w:r w:rsidRPr="00E12CFD">
        <w:rPr>
          <w:rFonts w:cs="Times New Roman"/>
          <w:szCs w:val="24"/>
        </w:rPr>
        <w:t>.</w:t>
      </w:r>
    </w:p>
    <w:p w14:paraId="0269854A" w14:textId="77777777" w:rsidR="003E5B95" w:rsidRPr="00E12CFD" w:rsidRDefault="003E5B95" w:rsidP="003E5B95">
      <w:pPr>
        <w:rPr>
          <w:rFonts w:cs="Times New Roman"/>
          <w:szCs w:val="24"/>
        </w:rPr>
      </w:pPr>
      <w:r w:rsidRPr="00E12CFD">
        <w:rPr>
          <w:rFonts w:cs="Times New Roman"/>
          <w:szCs w:val="24"/>
        </w:rPr>
        <w:t xml:space="preserve">Therefore, the organizational environments in which security demands occur will undoubtedly impact how the demands are appraised; therefore, these demands should also be appraised in terms of their key characteristics. These characteristics could include organizational complexity, uncertainty, cohesiveness, and mindfulness, among others </w:t>
      </w:r>
      <w:r>
        <w:rPr>
          <w:rFonts w:cs="Times New Roman"/>
          <w:noProof/>
          <w:szCs w:val="24"/>
        </w:rPr>
        <w:t>(Jensen et al., 2017; Johnston et al., 2019)</w:t>
      </w:r>
      <w:r w:rsidRPr="00E12CFD">
        <w:rPr>
          <w:rFonts w:cs="Times New Roman"/>
          <w:szCs w:val="24"/>
        </w:rPr>
        <w:t xml:space="preserve">. Organizational factors such as organizational climate, workgroup characteristics, and job characteristics also serve as situational variables that can influence how a demand is appraised </w:t>
      </w:r>
      <w:r>
        <w:rPr>
          <w:rFonts w:cs="Times New Roman"/>
          <w:noProof/>
          <w:szCs w:val="24"/>
        </w:rPr>
        <w:t>(Nelson, 1990)</w:t>
      </w:r>
      <w:r w:rsidRPr="00E12CFD">
        <w:rPr>
          <w:rFonts w:cs="Times New Roman"/>
          <w:szCs w:val="24"/>
        </w:rPr>
        <w:t xml:space="preserve">. For example, advanced security requirements can be challenging for cybersecurity professionals. However, organizations can provide facilitating conditions such as technical support, security education, and training to cybersecurity professionals to help them cope with advanced requirements </w:t>
      </w:r>
      <w:r>
        <w:rPr>
          <w:rFonts w:cs="Times New Roman"/>
          <w:noProof/>
          <w:szCs w:val="24"/>
        </w:rPr>
        <w:t>(Ragu-Nathan et al., 2008)</w:t>
      </w:r>
      <w:r w:rsidRPr="00E12CFD">
        <w:rPr>
          <w:rFonts w:cs="Times New Roman"/>
          <w:szCs w:val="24"/>
        </w:rPr>
        <w:t xml:space="preserve">. With an appropriate set of facilitating conditions, there is a high likelihood of a demand being appraised as a challenge stressor </w:t>
      </w:r>
      <w:r>
        <w:rPr>
          <w:rFonts w:cs="Times New Roman"/>
          <w:noProof/>
          <w:szCs w:val="24"/>
        </w:rPr>
        <w:t>(Califf et al., 2020)</w:t>
      </w:r>
      <w:r w:rsidRPr="00E12CFD">
        <w:rPr>
          <w:rFonts w:cs="Times New Roman"/>
          <w:szCs w:val="24"/>
        </w:rPr>
        <w:t xml:space="preserve">. For instance, the involvement of cybersecurity professionals in organizational security planning leads to a higher likelihood of any resulting technical or nontechnical security demands being appraised as challenge stressors because cybersecurity professionals will likely have more positive attitudes toward the demands because they have a better understanding of how the demands help secure the organization </w:t>
      </w:r>
      <w:r>
        <w:rPr>
          <w:rFonts w:cs="Times New Roman"/>
          <w:noProof/>
          <w:szCs w:val="24"/>
        </w:rPr>
        <w:t>(Califf et al., 2020)</w:t>
      </w:r>
      <w:r w:rsidRPr="00E12CFD">
        <w:rPr>
          <w:rFonts w:cs="Times New Roman"/>
          <w:szCs w:val="24"/>
        </w:rPr>
        <w:t xml:space="preserve">. </w:t>
      </w:r>
    </w:p>
    <w:p w14:paraId="252B1045" w14:textId="77777777" w:rsidR="003E5B95" w:rsidRPr="00E12CFD" w:rsidRDefault="003E5B95" w:rsidP="003E5B95">
      <w:pPr>
        <w:rPr>
          <w:rFonts w:cs="Times New Roman"/>
          <w:szCs w:val="24"/>
        </w:rPr>
      </w:pPr>
      <w:r w:rsidRPr="00E12CFD">
        <w:rPr>
          <w:rFonts w:cs="Times New Roman"/>
          <w:szCs w:val="24"/>
        </w:rPr>
        <w:lastRenderedPageBreak/>
        <w:t xml:space="preserve">Support in the workplace is another facilitating condition that can help shape a demand appraisal. This form of support comes from a network of cybersecurity professionals who lend help and support to each other, including emotional support </w:t>
      </w:r>
      <w:r>
        <w:rPr>
          <w:rFonts w:cs="Times New Roman"/>
          <w:noProof/>
          <w:szCs w:val="24"/>
        </w:rPr>
        <w:t>(Beehr et al., 2000)</w:t>
      </w:r>
      <w:r w:rsidRPr="00E12CFD">
        <w:rPr>
          <w:rFonts w:cs="Times New Roman"/>
          <w:szCs w:val="24"/>
        </w:rPr>
        <w:t xml:space="preserve">. A network of strong contacts who occupy social positions—and subsequently control resources that can be applied to learning new system intricacies, procuring complementary assets, and experimenting with the system parameters—provides facilitating conditions where security demands can be appraised as challenge stressors rather than hindrance stressors </w:t>
      </w:r>
      <w:r>
        <w:rPr>
          <w:rFonts w:cs="Times New Roman"/>
          <w:noProof/>
          <w:szCs w:val="24"/>
        </w:rPr>
        <w:t>(Sykes et al., 2009)</w:t>
      </w:r>
      <w:r w:rsidRPr="00E12CFD">
        <w:rPr>
          <w:rFonts w:cs="Times New Roman"/>
          <w:szCs w:val="24"/>
        </w:rPr>
        <w:t xml:space="preserve">. Also, positive work-related communications have a strong effect on demand appraisals, where demands are appraised positively and have a stronger effect on stress reduction in situations where communications are positive </w:t>
      </w:r>
      <w:r>
        <w:rPr>
          <w:rFonts w:cs="Times New Roman"/>
          <w:noProof/>
          <w:szCs w:val="24"/>
        </w:rPr>
        <w:t>(Beehr et al., 2000)</w:t>
      </w:r>
      <w:r w:rsidRPr="00E12CFD">
        <w:rPr>
          <w:rFonts w:cs="Times New Roman"/>
          <w:szCs w:val="24"/>
        </w:rPr>
        <w:t xml:space="preserve">. </w:t>
      </w:r>
    </w:p>
    <w:p w14:paraId="001BFD3E" w14:textId="77777777" w:rsidR="003E5B95" w:rsidRPr="00E12CFD" w:rsidRDefault="003E5B95" w:rsidP="003E5B95">
      <w:pPr>
        <w:rPr>
          <w:rFonts w:cs="Times New Roman"/>
          <w:szCs w:val="24"/>
        </w:rPr>
      </w:pPr>
      <w:r w:rsidRPr="00E12CFD">
        <w:rPr>
          <w:rFonts w:cs="Times New Roman"/>
          <w:szCs w:val="24"/>
        </w:rPr>
        <w:t xml:space="preserve">Another organizational characteristic of interest, job autonomy—or job-decision latitude—refers to the control people have over their jobs in terms of their freedom, independence, and discretion for how to respond to job demands </w:t>
      </w:r>
      <w:r>
        <w:rPr>
          <w:rFonts w:cs="Times New Roman"/>
          <w:noProof/>
          <w:szCs w:val="24"/>
        </w:rPr>
        <w:t>(Karasek, 1979)</w:t>
      </w:r>
      <w:r w:rsidRPr="00E12CFD">
        <w:rPr>
          <w:rFonts w:cs="Times New Roman"/>
          <w:szCs w:val="24"/>
        </w:rPr>
        <w:t xml:space="preserve">. When job autonomy is high, general IT professionals experience low levels of work exhaustion </w:t>
      </w:r>
      <w:r>
        <w:rPr>
          <w:rFonts w:cs="Times New Roman"/>
          <w:noProof/>
          <w:szCs w:val="24"/>
        </w:rPr>
        <w:t>(Ahuja et al., 2007; Armstrong et al., 2015; Moore, 2000)</w:t>
      </w:r>
      <w:r w:rsidRPr="00E12CFD">
        <w:rPr>
          <w:rFonts w:cs="Times New Roman"/>
          <w:szCs w:val="24"/>
        </w:rPr>
        <w:t xml:space="preserve">. Also, a high level of job autonomy in IT-related careers motivates IT professionals to learn new behaviors and lessen work exhaustion and job turnover intentions </w:t>
      </w:r>
      <w:r>
        <w:rPr>
          <w:rFonts w:cs="Times New Roman"/>
          <w:noProof/>
          <w:szCs w:val="24"/>
        </w:rPr>
        <w:t>(Shih et al., 2011)</w:t>
      </w:r>
      <w:r w:rsidRPr="00E12CFD">
        <w:rPr>
          <w:rFonts w:cs="Times New Roman"/>
          <w:szCs w:val="24"/>
        </w:rPr>
        <w:t xml:space="preserve">. Therefore, given the appropriate level of job autonomy, cybersecurity professionals will be more likely to appraise a demand as a challenge stressor </w:t>
      </w:r>
      <w:r>
        <w:rPr>
          <w:rFonts w:cs="Times New Roman"/>
          <w:noProof/>
          <w:szCs w:val="24"/>
        </w:rPr>
        <w:t>(Galluch et al., 2015; Tams et al., 2020; Tams, Legoux, et al., 2018)</w:t>
      </w:r>
      <w:r w:rsidRPr="00E12CFD">
        <w:rPr>
          <w:rFonts w:cs="Times New Roman"/>
          <w:szCs w:val="24"/>
        </w:rPr>
        <w:t xml:space="preserve">, but this influence, much like those provided by the other organizational characteristics presented above, is untested among cybersecurity professionals and is deserving of scholarly attention. </w:t>
      </w:r>
    </w:p>
    <w:p w14:paraId="4CCED34B" w14:textId="77777777" w:rsidR="003E5B95" w:rsidRPr="00E12CFD" w:rsidRDefault="003E5B95" w:rsidP="003E5B95">
      <w:pPr>
        <w:rPr>
          <w:rFonts w:cs="Times New Roman"/>
          <w:szCs w:val="24"/>
        </w:rPr>
      </w:pPr>
      <w:r w:rsidRPr="00E12CFD">
        <w:rPr>
          <w:rFonts w:cs="Times New Roman"/>
          <w:szCs w:val="24"/>
        </w:rPr>
        <w:t xml:space="preserve">Finally, the individual characteristics of the cybersecurity professionals themselves cannot be ignored in the security demands appraisal process </w:t>
      </w:r>
      <w:r>
        <w:rPr>
          <w:rFonts w:cs="Times New Roman"/>
          <w:noProof/>
          <w:szCs w:val="24"/>
        </w:rPr>
        <w:t>(Krishnan, 2017; Srivastava et al., 2015)</w:t>
      </w:r>
      <w:r w:rsidRPr="00E12CFD">
        <w:rPr>
          <w:rFonts w:cs="Times New Roman"/>
          <w:szCs w:val="24"/>
        </w:rPr>
        <w:t xml:space="preserve">. </w:t>
      </w:r>
      <w:r w:rsidRPr="00E12CFD">
        <w:rPr>
          <w:rFonts w:cs="Times New Roman"/>
          <w:szCs w:val="24"/>
        </w:rPr>
        <w:lastRenderedPageBreak/>
        <w:t xml:space="preserve">Individual characteristics such as personality traits or dispositions determine how people perceive their environment and react to it </w:t>
      </w:r>
      <w:r>
        <w:rPr>
          <w:rFonts w:cs="Times New Roman"/>
          <w:noProof/>
          <w:szCs w:val="24"/>
        </w:rPr>
        <w:t>(Lazarus &amp; Folkman, 1987)</w:t>
      </w:r>
      <w:r w:rsidRPr="00E12CFD">
        <w:rPr>
          <w:rFonts w:cs="Times New Roman"/>
          <w:szCs w:val="24"/>
        </w:rPr>
        <w:t xml:space="preserve">. In general, some people have a higher tendency to become stressed compared with others, leading to different appraisal outcomes </w:t>
      </w:r>
      <w:r>
        <w:rPr>
          <w:rFonts w:cs="Times New Roman"/>
          <w:noProof/>
          <w:szCs w:val="24"/>
        </w:rPr>
        <w:t>(Maier et al., 2019; Maier et al., 2017)</w:t>
      </w:r>
      <w:r w:rsidRPr="00E12CFD">
        <w:rPr>
          <w:rFonts w:cs="Times New Roman"/>
          <w:szCs w:val="24"/>
        </w:rPr>
        <w:t xml:space="preserve">. For example, the personality traits of agreeableness and openness to experience are two of the strongest predictors of stress, where individuals high in agreeableness are more inclined to positively appraise demands and individuals high in openness to experience are more likely to perceive demands negatively </w:t>
      </w:r>
      <w:r>
        <w:rPr>
          <w:rFonts w:cs="Times New Roman"/>
          <w:noProof/>
          <w:szCs w:val="24"/>
        </w:rPr>
        <w:t>(Krishnan, 2017)</w:t>
      </w:r>
      <w:r w:rsidRPr="00E12CFD">
        <w:rPr>
          <w:rFonts w:cs="Times New Roman"/>
          <w:szCs w:val="24"/>
        </w:rPr>
        <w:t xml:space="preserve">. It stands to reason, then, that cybersecurity professionals high in agreeableness would be socially adaptable, cooperative, popular, sensitive, likable, and willing to adjust their habits to meet the requirements of security demands, hence being more likely to appraise demands as challenge stressors. On the other hand, cybersecurity professionals scoring high on openness to experience would be intellectually curious, imaginative, and driven by self-set goals, so they would be more likely to appraise security demands as negative and disruptive to their work goals </w:t>
      </w:r>
      <w:r>
        <w:rPr>
          <w:rFonts w:cs="Times New Roman"/>
          <w:noProof/>
          <w:szCs w:val="24"/>
        </w:rPr>
        <w:t>(Krishnan, 2017)</w:t>
      </w:r>
      <w:r w:rsidRPr="00E12CFD">
        <w:rPr>
          <w:rFonts w:cs="Times New Roman"/>
          <w:szCs w:val="24"/>
        </w:rPr>
        <w:t>.</w:t>
      </w:r>
    </w:p>
    <w:p w14:paraId="358CBEB0" w14:textId="77777777" w:rsidR="003E5B95" w:rsidRPr="00E12CFD" w:rsidRDefault="003E5B95" w:rsidP="003E5B95">
      <w:pPr>
        <w:rPr>
          <w:rFonts w:cs="Times New Roman"/>
          <w:szCs w:val="24"/>
        </w:rPr>
      </w:pPr>
      <w:r w:rsidRPr="00E12CFD">
        <w:rPr>
          <w:rFonts w:cs="Times New Roman"/>
          <w:szCs w:val="24"/>
        </w:rPr>
        <w:t xml:space="preserve">Personality can also be understood in terms of its hierarchical nature </w:t>
      </w:r>
      <w:r>
        <w:rPr>
          <w:rFonts w:cs="Times New Roman"/>
          <w:noProof/>
          <w:szCs w:val="24"/>
        </w:rPr>
        <w:t>(Maier et al., 2019)</w:t>
      </w:r>
      <w:r w:rsidRPr="00E12CFD">
        <w:rPr>
          <w:rFonts w:cs="Times New Roman"/>
          <w:szCs w:val="24"/>
        </w:rPr>
        <w:t xml:space="preserve">. Prior research suggests that individuals have some broad traits (Goldberg 1993) and context-specific stable and dynamic traits that can have an impact on how they appraise demands. The big five personality traits are considered broad traits, while personal innovativeness to IT is an example of a stable, context-specific trait. IT mindfulness is an example of a dynamic, context-specific trait </w:t>
      </w:r>
      <w:r>
        <w:rPr>
          <w:rFonts w:cs="Times New Roman"/>
          <w:noProof/>
          <w:szCs w:val="24"/>
        </w:rPr>
        <w:t>(Maier et al., 2019)</w:t>
      </w:r>
      <w:r w:rsidRPr="00E12CFD">
        <w:rPr>
          <w:rFonts w:cs="Times New Roman"/>
          <w:szCs w:val="24"/>
        </w:rPr>
        <w:t xml:space="preserve">. Broad traits are context free, stable, and explain behavior or belief less precisely, whereas context-specific traits are dynamic, narrower traits, helping us understand beliefs and behaviors in certain contexts, such as cybersecurity. Dynamic traits can also be influenced by experience. Research shows that people high in neuroticism, a broad trait, </w:t>
      </w:r>
      <w:r w:rsidRPr="00E12CFD">
        <w:rPr>
          <w:rFonts w:cs="Times New Roman"/>
          <w:szCs w:val="24"/>
        </w:rPr>
        <w:lastRenderedPageBreak/>
        <w:t xml:space="preserve">tend to appraise work demands more along the lines of hindrance stressors and are more prone to experiences of job burnout </w:t>
      </w:r>
      <w:r>
        <w:rPr>
          <w:rFonts w:cs="Times New Roman"/>
          <w:noProof/>
          <w:szCs w:val="24"/>
        </w:rPr>
        <w:t>(Maier et al., 2019; Srivastava et al., 2015)</w:t>
      </w:r>
      <w:r w:rsidRPr="00E12CFD">
        <w:rPr>
          <w:rFonts w:cs="Times New Roman"/>
          <w:szCs w:val="24"/>
        </w:rPr>
        <w:t xml:space="preserve">. On the other hand, people high in stable and dynamic traits appraise work demands as challenge stressors and experience lower levels of stress, here with dynamic traits having the strongest impact on stressors </w:t>
      </w:r>
      <w:r>
        <w:rPr>
          <w:rFonts w:cs="Times New Roman"/>
          <w:noProof/>
          <w:szCs w:val="24"/>
        </w:rPr>
        <w:t>(Maier et al., 2019)</w:t>
      </w:r>
      <w:r w:rsidRPr="00E12CFD">
        <w:rPr>
          <w:rFonts w:cs="Times New Roman"/>
          <w:szCs w:val="24"/>
        </w:rPr>
        <w:t xml:space="preserve">. Being malleable and having the strongest impact on work demands, dynamic context-specific traits can be altered depending on organizational conditions. For example, organizations can provide email/IT mindfulness training to better equip cybersecurity professionals to identify security events, such as phishing attacks </w:t>
      </w:r>
      <w:r>
        <w:rPr>
          <w:rFonts w:cs="Times New Roman"/>
          <w:noProof/>
          <w:szCs w:val="24"/>
        </w:rPr>
        <w:t>(Jensen et al., 2017)</w:t>
      </w:r>
      <w:r w:rsidRPr="00E12CFD">
        <w:rPr>
          <w:rFonts w:cs="Times New Roman"/>
          <w:szCs w:val="24"/>
        </w:rPr>
        <w:t xml:space="preserve">. Given the dynamic nature of security threats, mindfulness among cybersecurity professionals can bring them out of “autopilot mode” in their appraisal of security demands, helping them to see </w:t>
      </w:r>
      <w:r>
        <w:rPr>
          <w:rFonts w:cs="Times New Roman"/>
          <w:szCs w:val="24"/>
        </w:rPr>
        <w:t>security threats</w:t>
      </w:r>
      <w:r w:rsidRPr="00E12CFD">
        <w:rPr>
          <w:rFonts w:cs="Times New Roman"/>
          <w:szCs w:val="24"/>
        </w:rPr>
        <w:t xml:space="preserve"> as something other than hindrance stressors. However, these characteristics of cybersecurity professionals have gone mostly unexplored in their role in the demand appraisal process and, as such, are deserving of the attention of scholars. </w:t>
      </w:r>
    </w:p>
    <w:p w14:paraId="737C3103" w14:textId="5A2F5B3B" w:rsidR="003E5B95" w:rsidRPr="00E12CFD" w:rsidRDefault="003E5B95" w:rsidP="003E5B95">
      <w:pPr>
        <w:rPr>
          <w:rFonts w:cs="Times New Roman"/>
          <w:szCs w:val="24"/>
        </w:rPr>
      </w:pPr>
      <w:r w:rsidRPr="00E12CFD">
        <w:rPr>
          <w:rFonts w:cs="Times New Roman"/>
          <w:szCs w:val="24"/>
        </w:rPr>
        <w:t>In terms of how scholars may go about exploring the demand appraisal process, scholars can include both subjective (self-reported measures through surveys) and objective measures (physiological and neurobiological methods) of demand characteristics. However, D’Arcy et al.</w:t>
      </w:r>
      <w:r w:rsidR="007F47CD">
        <w:rPr>
          <w:rFonts w:cs="Times New Roman"/>
          <w:szCs w:val="24"/>
        </w:rPr>
        <w:t xml:space="preserve"> </w:t>
      </w:r>
      <w:r w:rsidRPr="00E12CFD">
        <w:rPr>
          <w:rFonts w:cs="Times New Roman"/>
          <w:szCs w:val="24"/>
        </w:rPr>
        <w:t xml:space="preserve">(2014) note a critical limitation in InfoSec research in its focus on only self-reported measures, calling for future research to practice more methodological pluralism in its investigation of the stress phenomenon. </w:t>
      </w:r>
    </w:p>
    <w:p w14:paraId="7E714070" w14:textId="18E9A4E2" w:rsidR="003E5B95" w:rsidRPr="00E12CFD" w:rsidRDefault="003E5B95" w:rsidP="003E5B95">
      <w:pPr>
        <w:rPr>
          <w:rFonts w:cs="Times New Roman"/>
          <w:szCs w:val="24"/>
        </w:rPr>
      </w:pPr>
      <w:r w:rsidRPr="00E12CFD">
        <w:rPr>
          <w:rFonts w:cs="Times New Roman"/>
          <w:szCs w:val="24"/>
        </w:rPr>
        <w:t xml:space="preserve">We argue that this form of methodological pluralism is critical to understanding cybersecurity professionals’ demand appraisal process. Practicing methodological pluralism, Tams et al. (2014) compare the stress responses from self-reported and physiological measures (salivary α-amylase) and find that physiological measures of stress explain variance in the </w:t>
      </w:r>
      <w:r w:rsidRPr="00E12CFD">
        <w:rPr>
          <w:rFonts w:cs="Times New Roman"/>
          <w:szCs w:val="24"/>
        </w:rPr>
        <w:lastRenderedPageBreak/>
        <w:t xml:space="preserve">performance of a computer-based task beyond what could be explained by self-reported measures alone. Tams et al. (2014) conclude that self-reported and physiological measures do not correlate and are able to explain the conscious and unconscious aspects of stress, respectively. Other physiological indicators useful in stress research are galvanic skin response, blood cortisol level (commonly known as the stress hormone), heat flux, near-body temperature, and skin temperature (electrodermal conductivity) </w:t>
      </w:r>
      <w:r>
        <w:rPr>
          <w:rFonts w:cs="Times New Roman"/>
          <w:noProof/>
          <w:szCs w:val="24"/>
        </w:rPr>
        <w:t>(Moody &amp; Galletta, 2015)</w:t>
      </w:r>
      <w:r w:rsidRPr="00E12CFD">
        <w:rPr>
          <w:rFonts w:cs="Times New Roman"/>
          <w:szCs w:val="24"/>
        </w:rPr>
        <w:t xml:space="preserve">. During a stressful encounter, blood cortisol levels rise, and the skin becomes a better conductor of electricity because of the increased activity of sweat glands </w:t>
      </w:r>
      <w:r>
        <w:rPr>
          <w:rFonts w:cs="Times New Roman"/>
          <w:noProof/>
          <w:szCs w:val="24"/>
        </w:rPr>
        <w:t>(Moody &amp; Galletta, 2015)</w:t>
      </w:r>
      <w:r w:rsidRPr="00E12CFD">
        <w:rPr>
          <w:rFonts w:cs="Times New Roman"/>
          <w:szCs w:val="24"/>
        </w:rPr>
        <w:t>. However, it is not known whether similar physiological measures are activated in a demand appraisal process, which is a gap in current knowledge</w:t>
      </w:r>
      <w:r w:rsidR="007034E7">
        <w:rPr>
          <w:rFonts w:cs="Times New Roman"/>
          <w:szCs w:val="24"/>
        </w:rPr>
        <w:t xml:space="preserve"> </w:t>
      </w:r>
      <w:r w:rsidRPr="00E12CFD">
        <w:rPr>
          <w:rFonts w:cs="Times New Roman"/>
          <w:szCs w:val="24"/>
        </w:rPr>
        <w:t>worthy scholar</w:t>
      </w:r>
      <w:r w:rsidR="007034E7">
        <w:rPr>
          <w:rFonts w:cs="Times New Roman"/>
          <w:szCs w:val="24"/>
        </w:rPr>
        <w:t>s’ attention</w:t>
      </w:r>
      <w:r w:rsidRPr="00E12CFD">
        <w:rPr>
          <w:rFonts w:cs="Times New Roman"/>
          <w:szCs w:val="24"/>
        </w:rPr>
        <w:t xml:space="preserve">. </w:t>
      </w:r>
    </w:p>
    <w:p w14:paraId="59C20EBC" w14:textId="4C795410" w:rsidR="003E5B95" w:rsidRPr="00E12CFD" w:rsidRDefault="003E5B95" w:rsidP="003E5B95">
      <w:pPr>
        <w:rPr>
          <w:rFonts w:cs="Times New Roman"/>
          <w:szCs w:val="24"/>
        </w:rPr>
      </w:pPr>
      <w:r w:rsidRPr="00E12CFD">
        <w:rPr>
          <w:rFonts w:cs="Times New Roman"/>
          <w:szCs w:val="24"/>
        </w:rPr>
        <w:t xml:space="preserve">Perhaps, scholars should look more closely at </w:t>
      </w:r>
      <w:proofErr w:type="spellStart"/>
      <w:r w:rsidRPr="00E12CFD">
        <w:rPr>
          <w:rFonts w:cs="Times New Roman"/>
          <w:szCs w:val="24"/>
        </w:rPr>
        <w:t>NeuroIS</w:t>
      </w:r>
      <w:proofErr w:type="spellEnd"/>
      <w:r w:rsidRPr="00E12CFD">
        <w:rPr>
          <w:rFonts w:cs="Times New Roman"/>
          <w:szCs w:val="24"/>
        </w:rPr>
        <w:t xml:space="preserve"> research to help identify which regions of the brain and hormones are activated during a demand appraisal </w:t>
      </w:r>
      <w:r>
        <w:rPr>
          <w:rFonts w:cs="Times New Roman"/>
          <w:noProof/>
          <w:szCs w:val="24"/>
        </w:rPr>
        <w:t>(Anderson et al., 2016)</w:t>
      </w:r>
      <w:r w:rsidRPr="00E12CFD">
        <w:rPr>
          <w:rFonts w:cs="Times New Roman"/>
          <w:szCs w:val="24"/>
        </w:rPr>
        <w:t xml:space="preserve">. </w:t>
      </w:r>
      <w:proofErr w:type="spellStart"/>
      <w:r w:rsidRPr="00E12CFD">
        <w:rPr>
          <w:rFonts w:cs="Times New Roman"/>
          <w:szCs w:val="24"/>
        </w:rPr>
        <w:t>NeuroIS</w:t>
      </w:r>
      <w:proofErr w:type="spellEnd"/>
      <w:r w:rsidRPr="00E12CFD">
        <w:rPr>
          <w:rFonts w:cs="Times New Roman"/>
          <w:szCs w:val="24"/>
        </w:rPr>
        <w:t xml:space="preserve"> research is the application of cognitive neuroscience and associated physiological measures to the study of IS phenomena </w:t>
      </w:r>
      <w:r>
        <w:rPr>
          <w:rFonts w:cs="Times New Roman"/>
          <w:noProof/>
          <w:szCs w:val="24"/>
        </w:rPr>
        <w:t>(Dimoka et al., 2011)</w:t>
      </w:r>
      <w:r w:rsidRPr="00E12CFD">
        <w:rPr>
          <w:rFonts w:cs="Times New Roman"/>
          <w:szCs w:val="24"/>
        </w:rPr>
        <w:t xml:space="preserve">. The application of </w:t>
      </w:r>
      <w:proofErr w:type="spellStart"/>
      <w:r w:rsidRPr="00E12CFD">
        <w:rPr>
          <w:rFonts w:cs="Times New Roman"/>
          <w:szCs w:val="24"/>
        </w:rPr>
        <w:t>NeuroIS</w:t>
      </w:r>
      <w:proofErr w:type="spellEnd"/>
      <w:r w:rsidRPr="00E12CFD">
        <w:rPr>
          <w:rFonts w:cs="Times New Roman"/>
          <w:szCs w:val="24"/>
        </w:rPr>
        <w:t xml:space="preserve"> to the study of information security phenomena is known as </w:t>
      </w:r>
      <w:proofErr w:type="spellStart"/>
      <w:r w:rsidRPr="00E12CFD">
        <w:rPr>
          <w:rFonts w:cs="Times New Roman"/>
          <w:szCs w:val="24"/>
        </w:rPr>
        <w:t>neurosecurity</w:t>
      </w:r>
      <w:proofErr w:type="spellEnd"/>
      <w:r w:rsidRPr="00E12CFD">
        <w:rPr>
          <w:rFonts w:cs="Times New Roman"/>
          <w:szCs w:val="24"/>
        </w:rPr>
        <w:t xml:space="preserve"> </w:t>
      </w:r>
      <w:r>
        <w:rPr>
          <w:rFonts w:cs="Times New Roman"/>
          <w:noProof/>
          <w:szCs w:val="24"/>
        </w:rPr>
        <w:t>(Anderson et al., 2016)</w:t>
      </w:r>
      <w:r w:rsidRPr="00E12CFD">
        <w:rPr>
          <w:rFonts w:cs="Times New Roman"/>
          <w:szCs w:val="24"/>
        </w:rPr>
        <w:t xml:space="preserve">. </w:t>
      </w:r>
      <w:proofErr w:type="spellStart"/>
      <w:r w:rsidRPr="00E12CFD">
        <w:rPr>
          <w:rFonts w:cs="Times New Roman"/>
          <w:szCs w:val="24"/>
        </w:rPr>
        <w:t>NeuroIS</w:t>
      </w:r>
      <w:proofErr w:type="spellEnd"/>
      <w:r w:rsidRPr="00E12CFD">
        <w:rPr>
          <w:rFonts w:cs="Times New Roman"/>
          <w:szCs w:val="24"/>
        </w:rPr>
        <w:t xml:space="preserve"> has been recognized for its ability to help scholars understand security behaviors, including stress-related phenomena </w:t>
      </w:r>
      <w:r>
        <w:rPr>
          <w:rFonts w:cs="Times New Roman"/>
          <w:noProof/>
          <w:szCs w:val="24"/>
        </w:rPr>
        <w:t>(Anderson et al., 2016; Riedl et al., 2014)</w:t>
      </w:r>
      <w:r w:rsidRPr="00E12CFD">
        <w:rPr>
          <w:rFonts w:cs="Times New Roman"/>
          <w:szCs w:val="24"/>
        </w:rPr>
        <w:t xml:space="preserve">. For example, Warkentin et al. (2016) have determined that fear appeals activate several areas of the brain associated with self-referential thinking. In another study, Vance et al. (2014) use electroencephalography (EEG) to understand how users perceive and respond to information security threats. Like other </w:t>
      </w:r>
      <w:proofErr w:type="spellStart"/>
      <w:r w:rsidRPr="00E12CFD">
        <w:rPr>
          <w:rFonts w:cs="Times New Roman"/>
          <w:szCs w:val="24"/>
        </w:rPr>
        <w:t>NeuroIS</w:t>
      </w:r>
      <w:proofErr w:type="spellEnd"/>
      <w:r w:rsidRPr="00E12CFD">
        <w:rPr>
          <w:rFonts w:cs="Times New Roman"/>
          <w:szCs w:val="24"/>
        </w:rPr>
        <w:t xml:space="preserve"> methods, eye-tracking techniques capture </w:t>
      </w:r>
      <w:r w:rsidR="007034E7">
        <w:rPr>
          <w:rFonts w:cs="Times New Roman"/>
          <w:szCs w:val="24"/>
        </w:rPr>
        <w:t xml:space="preserve">deep </w:t>
      </w:r>
      <w:r w:rsidRPr="00E12CFD">
        <w:rPr>
          <w:rFonts w:cs="Times New Roman"/>
          <w:szCs w:val="24"/>
        </w:rPr>
        <w:t>unconscious</w:t>
      </w:r>
      <w:r w:rsidR="007034E7">
        <w:rPr>
          <w:rFonts w:cs="Times New Roman"/>
          <w:szCs w:val="24"/>
        </w:rPr>
        <w:t xml:space="preserve"> </w:t>
      </w:r>
      <w:r w:rsidRPr="00E12CFD">
        <w:rPr>
          <w:rFonts w:cs="Times New Roman"/>
          <w:szCs w:val="24"/>
        </w:rPr>
        <w:t xml:space="preserve">emotions. Through this technique, Vance et al. (2014) show that habituation occurs because of repeated exposure to security warnings, while Anderson et al. (2016) show that people </w:t>
      </w:r>
      <w:r w:rsidRPr="00E12CFD">
        <w:rPr>
          <w:rFonts w:cs="Times New Roman"/>
          <w:szCs w:val="24"/>
        </w:rPr>
        <w:lastRenderedPageBreak/>
        <w:t xml:space="preserve">unconsciously scrutinize repeated security warnings </w:t>
      </w:r>
      <w:r>
        <w:rPr>
          <w:rFonts w:cs="Times New Roman"/>
          <w:noProof/>
          <w:szCs w:val="24"/>
        </w:rPr>
        <w:t>(Anderson et al., 2016)</w:t>
      </w:r>
      <w:r w:rsidRPr="00E12CFD">
        <w:rPr>
          <w:rFonts w:cs="Times New Roman"/>
          <w:szCs w:val="24"/>
        </w:rPr>
        <w:t xml:space="preserve">. The evidence from these studies suggests that if applied to the study of cybersecurity professionals’ demand appraisal process, </w:t>
      </w:r>
      <w:proofErr w:type="spellStart"/>
      <w:r w:rsidRPr="00E12CFD">
        <w:rPr>
          <w:rFonts w:cs="Times New Roman"/>
          <w:szCs w:val="24"/>
        </w:rPr>
        <w:t>NeuroIS</w:t>
      </w:r>
      <w:proofErr w:type="spellEnd"/>
      <w:r w:rsidRPr="00E12CFD">
        <w:rPr>
          <w:rFonts w:cs="Times New Roman"/>
          <w:szCs w:val="24"/>
        </w:rPr>
        <w:t xml:space="preserve"> techniques would likely yield fruitful results. </w:t>
      </w:r>
    </w:p>
    <w:p w14:paraId="04BC1A7E" w14:textId="77777777" w:rsidR="003E5B95" w:rsidRPr="00E12CFD" w:rsidRDefault="003E5B95" w:rsidP="003E5B95">
      <w:pPr>
        <w:rPr>
          <w:rFonts w:cs="Times New Roman"/>
          <w:szCs w:val="24"/>
        </w:rPr>
      </w:pPr>
      <w:r w:rsidRPr="00E12CFD">
        <w:rPr>
          <w:rFonts w:cs="Times New Roman"/>
          <w:szCs w:val="24"/>
        </w:rPr>
        <w:t xml:space="preserve">In summary, scholars have a clear opportunity to engage in research exploring the process cybersecurity professionals follow in assessing security demands. Based on the opportunity outlined above, we present the following research questions as suggestions for advancing scholarship in this area: </w:t>
      </w:r>
    </w:p>
    <w:p w14:paraId="3F50FF3B" w14:textId="7A793FD6" w:rsidR="003E5B95" w:rsidRPr="002F5BAF" w:rsidRDefault="003E5B95" w:rsidP="003E5B95">
      <w:pPr>
        <w:ind w:left="360" w:firstLine="0"/>
        <w:rPr>
          <w:rFonts w:cs="Times New Roman"/>
          <w:b/>
          <w:bCs/>
          <w:i/>
          <w:szCs w:val="24"/>
        </w:rPr>
      </w:pPr>
      <w:r w:rsidRPr="002F5BAF">
        <w:rPr>
          <w:rFonts w:cs="Times New Roman"/>
          <w:b/>
          <w:bCs/>
          <w:i/>
          <w:szCs w:val="24"/>
        </w:rPr>
        <w:t>RQ</w:t>
      </w:r>
      <w:r w:rsidR="00A87683">
        <w:rPr>
          <w:rFonts w:cs="Times New Roman"/>
          <w:b/>
          <w:bCs/>
          <w:i/>
          <w:szCs w:val="24"/>
        </w:rPr>
        <w:t>3</w:t>
      </w:r>
      <w:r w:rsidRPr="002F5BAF">
        <w:rPr>
          <w:rFonts w:cs="Times New Roman"/>
          <w:b/>
          <w:bCs/>
          <w:i/>
          <w:szCs w:val="24"/>
        </w:rPr>
        <w:t>: How do organizational and individual characteristics interact with the characteristics of technical and nontechnical security demands in the demand appraisal process?</w:t>
      </w:r>
    </w:p>
    <w:p w14:paraId="215C61C3" w14:textId="5775A8F9" w:rsidR="003E5B95" w:rsidRPr="002F5BAF" w:rsidRDefault="003E5B95" w:rsidP="003E5B95">
      <w:pPr>
        <w:ind w:left="360" w:firstLine="0"/>
        <w:rPr>
          <w:rFonts w:cs="Times New Roman"/>
          <w:b/>
          <w:bCs/>
          <w:i/>
          <w:szCs w:val="24"/>
        </w:rPr>
      </w:pPr>
      <w:r w:rsidRPr="002F5BAF">
        <w:rPr>
          <w:rFonts w:cs="Times New Roman"/>
          <w:b/>
          <w:bCs/>
          <w:i/>
          <w:szCs w:val="24"/>
        </w:rPr>
        <w:t>RQ</w:t>
      </w:r>
      <w:r w:rsidR="00A87683">
        <w:rPr>
          <w:rFonts w:cs="Times New Roman"/>
          <w:b/>
          <w:bCs/>
          <w:i/>
          <w:szCs w:val="24"/>
        </w:rPr>
        <w:t>4</w:t>
      </w:r>
      <w:r w:rsidRPr="002F5BAF">
        <w:rPr>
          <w:rFonts w:cs="Times New Roman"/>
          <w:b/>
          <w:bCs/>
          <w:i/>
          <w:szCs w:val="24"/>
        </w:rPr>
        <w:t>: What individual and organizational characteristics increase the likelihood that a given security demand (technical or nontechnical) will be appraised as a challenge stressor by cybersecurity professionals?</w:t>
      </w:r>
    </w:p>
    <w:p w14:paraId="701F3BD2" w14:textId="5365CC32" w:rsidR="003E5B95" w:rsidRPr="002F5BAF" w:rsidRDefault="003E5B95" w:rsidP="003E5B95">
      <w:pPr>
        <w:ind w:left="360" w:firstLine="0"/>
        <w:rPr>
          <w:rFonts w:cs="Times New Roman"/>
          <w:b/>
          <w:bCs/>
          <w:i/>
          <w:szCs w:val="24"/>
        </w:rPr>
      </w:pPr>
      <w:r w:rsidRPr="002F5BAF">
        <w:rPr>
          <w:rFonts w:cs="Times New Roman"/>
          <w:b/>
          <w:bCs/>
          <w:i/>
          <w:szCs w:val="24"/>
        </w:rPr>
        <w:t>RQ</w:t>
      </w:r>
      <w:r w:rsidR="00A87683">
        <w:rPr>
          <w:rFonts w:cs="Times New Roman"/>
          <w:b/>
          <w:bCs/>
          <w:i/>
          <w:szCs w:val="24"/>
        </w:rPr>
        <w:t>5</w:t>
      </w:r>
      <w:r w:rsidRPr="002F5BAF">
        <w:rPr>
          <w:rFonts w:cs="Times New Roman"/>
          <w:b/>
          <w:bCs/>
          <w:i/>
          <w:szCs w:val="24"/>
        </w:rPr>
        <w:t>: What individual and organizational characteristics increase the likelihood that a given security demand (technical or nontechnical) will be appraised as a hindrance stressor by cybersecurity professionals?</w:t>
      </w:r>
    </w:p>
    <w:p w14:paraId="7946DA27" w14:textId="77777777" w:rsidR="003E5B95" w:rsidRPr="00E12CFD" w:rsidRDefault="003E5B95" w:rsidP="003E5B95">
      <w:pPr>
        <w:pStyle w:val="Heading2"/>
      </w:pPr>
      <w:bookmarkStart w:id="130" w:name="_Toc73602059"/>
      <w:bookmarkStart w:id="131" w:name="_Toc74045228"/>
      <w:bookmarkStart w:id="132" w:name="_Toc74087513"/>
      <w:bookmarkStart w:id="133" w:name="_Toc74258629"/>
      <w:r w:rsidRPr="00E12CFD">
        <w:t>Opportunity 3: Cybersecurity scholars should explore the multitude of stress responses that cybersecurity professionals engage in following a demand appraisal</w:t>
      </w:r>
      <w:bookmarkEnd w:id="130"/>
      <w:bookmarkEnd w:id="131"/>
      <w:bookmarkEnd w:id="132"/>
      <w:bookmarkEnd w:id="133"/>
      <w:r w:rsidRPr="00E12CFD">
        <w:t xml:space="preserve"> </w:t>
      </w:r>
    </w:p>
    <w:p w14:paraId="2E2BF58B" w14:textId="6DE15991" w:rsidR="003E5B95" w:rsidRPr="00E12CFD" w:rsidRDefault="003E5B95" w:rsidP="003E5B95">
      <w:pPr>
        <w:rPr>
          <w:rFonts w:cs="Times New Roman"/>
          <w:szCs w:val="24"/>
        </w:rPr>
      </w:pPr>
      <w:r w:rsidRPr="00E12CFD">
        <w:rPr>
          <w:rFonts w:cs="Times New Roman"/>
          <w:szCs w:val="24"/>
        </w:rPr>
        <w:t xml:space="preserve">In the organizational behavior literature, the holistic stress model by Simmons and Nelson (2007) excellently explains the positive and negative psychological responses in the form of emotions, attitude, and behavior. Positive emotional states are represented by feelings of joy, happiness, and excitement, whereas a negative stress response takes the form of anger, anxiety, and frustration. A feeling of hope, meaningfulness, and vigor are a few examples of a positive </w:t>
      </w:r>
      <w:r w:rsidRPr="00E12CFD">
        <w:rPr>
          <w:rFonts w:cs="Times New Roman"/>
          <w:szCs w:val="24"/>
        </w:rPr>
        <w:lastRenderedPageBreak/>
        <w:t>attitude, whereas a negative attitude manifests in</w:t>
      </w:r>
      <w:r w:rsidR="007034E7">
        <w:rPr>
          <w:rFonts w:cs="Times New Roman"/>
          <w:szCs w:val="24"/>
        </w:rPr>
        <w:t xml:space="preserve"> </w:t>
      </w:r>
      <w:r w:rsidRPr="00E12CFD">
        <w:rPr>
          <w:rFonts w:cs="Times New Roman"/>
          <w:szCs w:val="24"/>
        </w:rPr>
        <w:t xml:space="preserve">burnout and work exhaustion. The behavioral responses associated with positive states include work engagement and positive organizational citizenship behavior, while revenge, incivility, and noncompliance behavior are the behavioral responses associated with negative psychological states. Depending on the psychological states derived from a demand appraisal, a cybersecurity professional will experience a degree of both the positive and negative psychological responses directed at mitigating/alleviating the negative psychological state, that is, coping or intensifying or enjoying a positive psychological state or savoring the positives </w:t>
      </w:r>
      <w:r>
        <w:rPr>
          <w:rFonts w:cs="Times New Roman"/>
          <w:noProof/>
          <w:szCs w:val="24"/>
        </w:rPr>
        <w:t>(Lazarus &amp; Folkman, 1987; Simmons &amp; Nelson, 2007)</w:t>
      </w:r>
      <w:r w:rsidRPr="00E12CFD">
        <w:rPr>
          <w:rFonts w:cs="Times New Roman"/>
          <w:szCs w:val="24"/>
        </w:rPr>
        <w:t xml:space="preserve">. </w:t>
      </w:r>
    </w:p>
    <w:p w14:paraId="67779436" w14:textId="60702FA8" w:rsidR="003E5B95" w:rsidRPr="00E12CFD" w:rsidRDefault="003E5B95" w:rsidP="003E5B95">
      <w:pPr>
        <w:rPr>
          <w:rFonts w:cs="Times New Roman"/>
          <w:szCs w:val="24"/>
        </w:rPr>
      </w:pPr>
      <w:r w:rsidRPr="00E12CFD">
        <w:rPr>
          <w:rFonts w:cs="Times New Roman"/>
          <w:szCs w:val="24"/>
        </w:rPr>
        <w:t>The essence of this discussion is that an individual’s coping/savoring responses vary depending on his/her assessment of the demand, but overall, in the event of the security demand, a cybersecurity professional either approaches it in a problem-focused or emotion-focused manner or takes a hybrid approach of the two to increase his/her effectiveness and efficiency while minimizing the negative consequences of a security event and restoring emotional stability</w:t>
      </w:r>
      <w:r w:rsidR="00C46BBC">
        <w:rPr>
          <w:rFonts w:cs="Times New Roman"/>
          <w:szCs w:val="24"/>
        </w:rPr>
        <w:t xml:space="preserve"> </w:t>
      </w:r>
      <w:r>
        <w:rPr>
          <w:rFonts w:cs="Times New Roman"/>
          <w:noProof/>
          <w:szCs w:val="24"/>
        </w:rPr>
        <w:t>(Beaudry &amp; Pinsonneault, 2005; Liang et al., 2019)</w:t>
      </w:r>
      <w:r w:rsidRPr="00E12CFD">
        <w:rPr>
          <w:rFonts w:cs="Times New Roman"/>
          <w:szCs w:val="24"/>
        </w:rPr>
        <w:t xml:space="preserve">. Overall, future research opportunities exist for identifying the coping and savoring responses in a cybersecurity context, how these relate to nondisruptive and disruptive security technology, and whether these responses vary by discrepant IT events in the security context. </w:t>
      </w:r>
      <w:r w:rsidRPr="00E12CFD">
        <w:rPr>
          <w:rFonts w:cs="Times New Roman"/>
          <w:color w:val="222222"/>
          <w:szCs w:val="24"/>
          <w:shd w:val="clear" w:color="auto" w:fill="FFFFFF"/>
        </w:rPr>
        <w:t>Hence, future research can attempt to answer these questions along with the following broad question:</w:t>
      </w:r>
    </w:p>
    <w:p w14:paraId="717DB6BA" w14:textId="0357895D" w:rsidR="003E5B95" w:rsidRPr="002F5BAF" w:rsidRDefault="003E5B95" w:rsidP="003E5B95">
      <w:pPr>
        <w:ind w:left="360" w:firstLine="0"/>
        <w:rPr>
          <w:rFonts w:cs="Times New Roman"/>
          <w:b/>
          <w:bCs/>
          <w:i/>
          <w:szCs w:val="24"/>
        </w:rPr>
      </w:pPr>
      <w:r w:rsidRPr="002F5BAF">
        <w:rPr>
          <w:rFonts w:cs="Times New Roman"/>
          <w:b/>
          <w:bCs/>
          <w:i/>
          <w:szCs w:val="24"/>
        </w:rPr>
        <w:t>RQ</w:t>
      </w:r>
      <w:r w:rsidR="00A87683">
        <w:rPr>
          <w:rFonts w:cs="Times New Roman"/>
          <w:b/>
          <w:bCs/>
          <w:i/>
          <w:szCs w:val="24"/>
        </w:rPr>
        <w:t>6</w:t>
      </w:r>
      <w:r w:rsidRPr="002F5BAF">
        <w:rPr>
          <w:rFonts w:cs="Times New Roman"/>
          <w:b/>
          <w:bCs/>
          <w:i/>
          <w:szCs w:val="24"/>
        </w:rPr>
        <w:t>: How do cybersecurity professionals savor and cope with the IT security demands of their organizations?</w:t>
      </w:r>
    </w:p>
    <w:p w14:paraId="7ED7F8F9" w14:textId="77777777" w:rsidR="003E5B95" w:rsidRPr="00E12CFD" w:rsidRDefault="003E5B95" w:rsidP="003E5B95">
      <w:pPr>
        <w:pStyle w:val="Heading2"/>
      </w:pPr>
      <w:bookmarkStart w:id="134" w:name="_Toc73602060"/>
      <w:bookmarkStart w:id="135" w:name="_Toc74045229"/>
      <w:bookmarkStart w:id="136" w:name="_Toc74087514"/>
      <w:bookmarkStart w:id="137" w:name="_Toc74258630"/>
      <w:r w:rsidRPr="00E12CFD">
        <w:lastRenderedPageBreak/>
        <w:t>Opportunity 4: Cybersecurity scholars should continue to practice theoretical pluralism in studying stress among cybersecurity professionals</w:t>
      </w:r>
      <w:bookmarkEnd w:id="134"/>
      <w:bookmarkEnd w:id="135"/>
      <w:bookmarkEnd w:id="136"/>
      <w:bookmarkEnd w:id="137"/>
    </w:p>
    <w:p w14:paraId="3E776EF4" w14:textId="77777777" w:rsidR="003E5B95" w:rsidRPr="00E12CFD" w:rsidRDefault="003E5B95" w:rsidP="003E5B95">
      <w:pPr>
        <w:rPr>
          <w:rFonts w:cs="Times New Roman"/>
          <w:szCs w:val="24"/>
        </w:rPr>
      </w:pPr>
      <w:r w:rsidRPr="00E12CFD">
        <w:rPr>
          <w:rFonts w:cs="Times New Roman"/>
          <w:szCs w:val="24"/>
        </w:rPr>
        <w:t xml:space="preserve">In Observation 6, we note that multiple theoretical perspectives have been used to understand SRS, ISS, and information security burnout, among other stress-related phenomena. However, we have also noticed several areas of the stress process that are understudied, such as the characteristics of security demands that are deemed stressful for cybersecurity professionals, the demand appraisal process, stress responses, and stress-related outcomes. </w:t>
      </w:r>
    </w:p>
    <w:p w14:paraId="06E86248" w14:textId="77777777" w:rsidR="003E5B95" w:rsidRPr="00E12CFD" w:rsidRDefault="003E5B95" w:rsidP="003E5B95">
      <w:pPr>
        <w:rPr>
          <w:rFonts w:cs="Times New Roman"/>
          <w:szCs w:val="24"/>
        </w:rPr>
      </w:pPr>
      <w:r w:rsidRPr="00E12CFD">
        <w:rPr>
          <w:rFonts w:cs="Times New Roman"/>
          <w:szCs w:val="24"/>
        </w:rPr>
        <w:t xml:space="preserve">Theoretical pluralism provides the opportunity to study the various micro and macro aspects of stress phenomena from different perspectives. For example, </w:t>
      </w:r>
      <w:r>
        <w:rPr>
          <w:rFonts w:cs="Times New Roman"/>
          <w:szCs w:val="24"/>
        </w:rPr>
        <w:t xml:space="preserve">the </w:t>
      </w:r>
      <w:r w:rsidRPr="00E12CFD">
        <w:rPr>
          <w:rFonts w:cs="Times New Roman"/>
          <w:szCs w:val="24"/>
        </w:rPr>
        <w:t xml:space="preserve">transactional theory of stress provides guidance for understanding cognitive and behavioral efforts performed by cybersecurity professionals to cope with and savor the security demands that occur in their work environment. As another example, job demands-resources (JD-R) theory provides guidance for understanding the effects of security demands on cybersecurity professionals, where the unique effects of security demands and resources exhibit themselves in the form of work engagement, organizational commitment, job performance, motivation, and burnout, among other forms </w:t>
      </w:r>
      <w:r>
        <w:rPr>
          <w:rFonts w:cs="Times New Roman"/>
          <w:noProof/>
          <w:szCs w:val="24"/>
        </w:rPr>
        <w:t>(Demerouti &amp; Bakker, 2011; Demerouti et al., 2000)</w:t>
      </w:r>
      <w:r w:rsidRPr="00E12CFD">
        <w:rPr>
          <w:rFonts w:cs="Times New Roman"/>
          <w:szCs w:val="24"/>
        </w:rPr>
        <w:t xml:space="preserve">. </w:t>
      </w:r>
    </w:p>
    <w:p w14:paraId="1C0F1D41" w14:textId="0162D2EC" w:rsidR="003E5B95" w:rsidRPr="00E12CFD" w:rsidRDefault="003E5B95" w:rsidP="003E5B95">
      <w:pPr>
        <w:rPr>
          <w:rFonts w:cs="Times New Roman"/>
          <w:szCs w:val="24"/>
        </w:rPr>
      </w:pPr>
      <w:r w:rsidRPr="00E12CFD">
        <w:rPr>
          <w:rFonts w:cs="Times New Roman"/>
          <w:szCs w:val="24"/>
        </w:rPr>
        <w:t xml:space="preserve">Continuing with applicable theories, </w:t>
      </w:r>
      <w:r>
        <w:rPr>
          <w:rFonts w:cs="Times New Roman"/>
          <w:szCs w:val="24"/>
        </w:rPr>
        <w:t xml:space="preserve">the </w:t>
      </w:r>
      <w:r w:rsidRPr="00E12CFD">
        <w:rPr>
          <w:rFonts w:cs="Times New Roman"/>
          <w:szCs w:val="24"/>
        </w:rPr>
        <w:t>cybernetic theory of stress and coping focuses on discrepancy-reducing and discrepancy-enhancing mechanisms; that is, a cybersecurity professional engages in the mechanism that reduces or increases the distance between the current and desired states</w:t>
      </w:r>
      <w:r w:rsidR="007034E7">
        <w:rPr>
          <w:rFonts w:cs="Times New Roman"/>
          <w:szCs w:val="24"/>
        </w:rPr>
        <w:t xml:space="preserve"> </w:t>
      </w:r>
      <w:r w:rsidRPr="00E12CFD">
        <w:rPr>
          <w:rFonts w:cs="Times New Roman"/>
          <w:szCs w:val="24"/>
        </w:rPr>
        <w:t xml:space="preserve">here depending on the stressor </w:t>
      </w:r>
      <w:r>
        <w:rPr>
          <w:rFonts w:cs="Times New Roman"/>
          <w:noProof/>
          <w:szCs w:val="24"/>
        </w:rPr>
        <w:t>(Edwards, 1992)</w:t>
      </w:r>
      <w:r w:rsidRPr="00E12CFD">
        <w:rPr>
          <w:rFonts w:cs="Times New Roman"/>
          <w:szCs w:val="24"/>
        </w:rPr>
        <w:t xml:space="preserve">. Cybernetic theory can form an excellent theoretical lens through which to explore the adoption of new security technology within an organization because the goal is to decrease the discrepancy between the desired and current mental state of the cyber professional when it comes to the new technology. </w:t>
      </w:r>
    </w:p>
    <w:p w14:paraId="0AE209D4" w14:textId="77777777" w:rsidR="003E5B95" w:rsidRPr="00E12CFD" w:rsidRDefault="003E5B95" w:rsidP="003E5B95">
      <w:pPr>
        <w:rPr>
          <w:rFonts w:cs="Times New Roman"/>
          <w:szCs w:val="24"/>
        </w:rPr>
      </w:pPr>
      <w:r w:rsidRPr="00E12CFD">
        <w:rPr>
          <w:rFonts w:cs="Times New Roman"/>
          <w:szCs w:val="24"/>
        </w:rPr>
        <w:lastRenderedPageBreak/>
        <w:t xml:space="preserve">P-E fit theory characterizes stress as a lack of correspondence between the characteristics of a person (e.g., abilities and values) and the environment (e.g., demands and supplies). This lack of fit can result in the unmet needs of cybersecurity professionals or job demands, which ultimately results in deleterious psychological, physiological, and behavioral outcomes. P-E fit theory is a multidimensional theory that suggests people (personality, values, skills, goals, emotions, etc.) and the environment, including the organization where cybersecurity professionals are employed, is multidimensional (e.g., organizational culture, expected behavior, pay structure, etc.) </w:t>
      </w:r>
      <w:r>
        <w:rPr>
          <w:rFonts w:cs="Times New Roman"/>
          <w:noProof/>
          <w:szCs w:val="24"/>
        </w:rPr>
        <w:t>(Edwards &amp; Billsberry, 2010)</w:t>
      </w:r>
      <w:r w:rsidRPr="00E12CFD">
        <w:rPr>
          <w:rFonts w:cs="Times New Roman"/>
          <w:szCs w:val="24"/>
        </w:rPr>
        <w:t xml:space="preserve">. Therefore, cybersecurity professionals are nested within different levels of organizational dimensions. For example, cybersecurity professionals not only work in groups on different projects (person–people fit) but also with different security technologies (person–technology fit) at the same time. However, using one kind of fit approach illuminates only one side of the stress phenomenon. P-E fit theory is an excellent way to demonstrate how different organizational factors create different types of security demands (e.g., outdated technology, lack of management support for security functions, etc.) and how the different dimensions of P-E (mist)fit lead to varying levels of psychological responses among cybersecurity professionals. </w:t>
      </w:r>
    </w:p>
    <w:p w14:paraId="1C9FBADF" w14:textId="77777777" w:rsidR="003E5B95" w:rsidRPr="003E5B95" w:rsidRDefault="003E5B95" w:rsidP="003E5B95">
      <w:pPr>
        <w:pStyle w:val="Heading1"/>
        <w:rPr>
          <w:b/>
          <w:bCs/>
        </w:rPr>
      </w:pPr>
      <w:bookmarkStart w:id="138" w:name="_Toc73602061"/>
      <w:bookmarkStart w:id="139" w:name="_Toc74045230"/>
      <w:bookmarkStart w:id="140" w:name="_Toc74087515"/>
      <w:bookmarkStart w:id="141" w:name="_Toc74258631"/>
      <w:r w:rsidRPr="003E5B95">
        <w:rPr>
          <w:b/>
          <w:bCs/>
        </w:rPr>
        <w:t>DISCUSSION AND CONCLUSION</w:t>
      </w:r>
      <w:bookmarkEnd w:id="138"/>
      <w:bookmarkEnd w:id="139"/>
      <w:bookmarkEnd w:id="140"/>
      <w:bookmarkEnd w:id="141"/>
    </w:p>
    <w:p w14:paraId="36D0C0F9" w14:textId="77777777" w:rsidR="003E5B95" w:rsidRPr="00E12CFD" w:rsidRDefault="003E5B95" w:rsidP="003E5B95">
      <w:pPr>
        <w:rPr>
          <w:rFonts w:cs="Times New Roman"/>
          <w:szCs w:val="24"/>
        </w:rPr>
      </w:pPr>
      <w:r w:rsidRPr="00E12CFD">
        <w:rPr>
          <w:rFonts w:cs="Times New Roman"/>
          <w:szCs w:val="24"/>
        </w:rPr>
        <w:t xml:space="preserve">An exploration of the stress phenomenon among cybersecurity professionals presents several research opportunities that meet at the intersection of industry mandates, security controls, organization, and people. Constantly changing threat landscapes and enhanced industry mandates are the mainstays of the cybersecurity profession, a profession that can be challenging, motivating, exhausting, or all of these at the same time. Stress among cybersecurity professionals is a major problem for organizations, yet the research to date has not provided a focused study on this population. From an interdisciplinary perspective, stress among cybersecurity professionals </w:t>
      </w:r>
      <w:r w:rsidRPr="00E12CFD">
        <w:rPr>
          <w:rFonts w:cs="Times New Roman"/>
          <w:szCs w:val="24"/>
        </w:rPr>
        <w:lastRenderedPageBreak/>
        <w:t xml:space="preserve">is deeply rooted in the psychological stress literature and is similar in nature to other forms of job stress. However, it is unique in that it is driven by security requirements, along with the design and implementation of security controls, policies, and procedures. </w:t>
      </w:r>
    </w:p>
    <w:p w14:paraId="0187E0A2" w14:textId="77777777" w:rsidR="003E5B95" w:rsidRDefault="003E5B95" w:rsidP="003E5B95">
      <w:pPr>
        <w:rPr>
          <w:rFonts w:cs="Times New Roman"/>
          <w:szCs w:val="24"/>
        </w:rPr>
      </w:pPr>
      <w:r w:rsidRPr="00E12CFD">
        <w:rPr>
          <w:rFonts w:cs="Times New Roman"/>
          <w:szCs w:val="24"/>
        </w:rPr>
        <w:t>In this review, we provide this needed vantage, presenting a thorough review of the literature on stress in the IS and IS-related disciplines of management, organizational behavior, and psychological stress, as well as observations of the literature and opportunities for future scholarship in the area. We synthesized the stress research that can be applied to understanding stress among cybersecurity professionals and have presented opportunities for future research. Although the research opportunities presented in this review are not exhaustive, tackling the challenge of understanding the stress phenomenon among cybersecurity professionals has practical ramifications that extend beyond the research communities. As new security demands relating to challenge and hindrance aspects of the stress come to light, new ways to promote the positives aspects of stress and mitigate the negatives side of stress also appear.</w:t>
      </w:r>
      <w:bookmarkStart w:id="142" w:name="_Toc73602062"/>
      <w:r>
        <w:rPr>
          <w:rFonts w:cs="Times New Roman"/>
          <w:szCs w:val="24"/>
        </w:rPr>
        <w:t xml:space="preserve"> </w:t>
      </w:r>
    </w:p>
    <w:p w14:paraId="54C167F7" w14:textId="77777777" w:rsidR="003E5B95" w:rsidRDefault="003E5B95">
      <w:pPr>
        <w:spacing w:after="160" w:line="259" w:lineRule="auto"/>
        <w:ind w:firstLine="0"/>
        <w:contextualSpacing w:val="0"/>
        <w:rPr>
          <w:rFonts w:cs="Times New Roman"/>
          <w:szCs w:val="24"/>
        </w:rPr>
      </w:pPr>
      <w:r>
        <w:rPr>
          <w:rFonts w:cs="Times New Roman"/>
          <w:szCs w:val="24"/>
        </w:rPr>
        <w:br w:type="page"/>
      </w:r>
    </w:p>
    <w:p w14:paraId="1ABE42A7" w14:textId="77777777" w:rsidR="003E5B95" w:rsidRPr="003E5B95" w:rsidRDefault="003E5B95" w:rsidP="003E5B95">
      <w:pPr>
        <w:pStyle w:val="Heading1"/>
        <w:rPr>
          <w:b/>
          <w:bCs/>
        </w:rPr>
      </w:pPr>
      <w:bookmarkStart w:id="143" w:name="_Toc74087516"/>
      <w:bookmarkStart w:id="144" w:name="_Toc74258632"/>
      <w:r w:rsidRPr="003E5B95">
        <w:rPr>
          <w:b/>
          <w:bCs/>
        </w:rPr>
        <w:lastRenderedPageBreak/>
        <w:t>REFERENCES</w:t>
      </w:r>
      <w:bookmarkEnd w:id="143"/>
      <w:bookmarkEnd w:id="144"/>
    </w:p>
    <w:p w14:paraId="100FD065" w14:textId="5EE10D9C" w:rsidR="003E5B95" w:rsidRPr="0001200D" w:rsidRDefault="003E5B95" w:rsidP="003E5B95">
      <w:pPr>
        <w:pStyle w:val="EndNoteBibliography"/>
        <w:spacing w:after="240"/>
        <w:ind w:left="720" w:hanging="720"/>
      </w:pPr>
      <w:r w:rsidRPr="0001200D">
        <w:t xml:space="preserve">Aghaz, A., &amp; Sheikh, A. (2016). Cyberloafing and job burnout: An investigation in the knowledge-intensive sector. </w:t>
      </w:r>
      <w:r w:rsidRPr="0001200D">
        <w:rPr>
          <w:i/>
        </w:rPr>
        <w:t>Computers in Human Behavior</w:t>
      </w:r>
      <w:r w:rsidRPr="0001200D">
        <w:t>,</w:t>
      </w:r>
      <w:r w:rsidRPr="0001200D">
        <w:rPr>
          <w:i/>
        </w:rPr>
        <w:t xml:space="preserve"> 62</w:t>
      </w:r>
      <w:r w:rsidRPr="0001200D">
        <w:t xml:space="preserve">, 51-60. </w:t>
      </w:r>
      <w:r w:rsidRPr="003E5B95">
        <w:t>https://doi.org/10.1016/j.chb.2016.03.069</w:t>
      </w:r>
      <w:r w:rsidRPr="0001200D">
        <w:t xml:space="preserve"> </w:t>
      </w:r>
    </w:p>
    <w:p w14:paraId="49BA705B" w14:textId="77777777" w:rsidR="003E5B95" w:rsidRPr="0001200D" w:rsidRDefault="003E5B95" w:rsidP="003E5B95">
      <w:pPr>
        <w:pStyle w:val="EndNoteBibliography"/>
        <w:spacing w:after="240"/>
        <w:ind w:left="720" w:hanging="720"/>
      </w:pPr>
      <w:r w:rsidRPr="0001200D">
        <w:t xml:space="preserve">Ahuja, M. K., Chudoba, K. M., Kacmar, C. J., McKnight, D. H., &amp; George, J. F. (2007). IT road warriors: Balancing work-family conflict, job autonomy, and work overload to mitigate turnover intentions. </w:t>
      </w:r>
      <w:r w:rsidRPr="0001200D">
        <w:rPr>
          <w:i/>
        </w:rPr>
        <w:t>MIS Quarterly</w:t>
      </w:r>
      <w:r w:rsidRPr="0001200D">
        <w:t>,</w:t>
      </w:r>
      <w:r w:rsidRPr="0001200D">
        <w:rPr>
          <w:i/>
        </w:rPr>
        <w:t xml:space="preserve"> 31</w:t>
      </w:r>
      <w:r w:rsidRPr="0001200D">
        <w:t xml:space="preserve">(1), 1-17. </w:t>
      </w:r>
    </w:p>
    <w:p w14:paraId="10753FB5" w14:textId="77777777" w:rsidR="003E5B95" w:rsidRPr="0001200D" w:rsidRDefault="003E5B95" w:rsidP="003E5B95">
      <w:pPr>
        <w:pStyle w:val="EndNoteBibliography"/>
        <w:spacing w:after="240"/>
        <w:ind w:left="720" w:hanging="720"/>
      </w:pPr>
      <w:r w:rsidRPr="0001200D">
        <w:t xml:space="preserve">Ament, C., &amp; Haag, S. (2016a). </w:t>
      </w:r>
      <w:r w:rsidRPr="0001200D">
        <w:rPr>
          <w:i/>
        </w:rPr>
        <w:t>How information security equirements stress employees</w:t>
      </w:r>
      <w:r w:rsidRPr="0001200D">
        <w:t xml:space="preserve"> Proceedings of International Conference on Information Systems (ICIS), Dublin, Ireland. </w:t>
      </w:r>
    </w:p>
    <w:p w14:paraId="7D19C4C3" w14:textId="77777777" w:rsidR="003E5B95" w:rsidRPr="0001200D" w:rsidRDefault="003E5B95" w:rsidP="003E5B95">
      <w:pPr>
        <w:pStyle w:val="EndNoteBibliography"/>
        <w:spacing w:after="240"/>
        <w:ind w:left="720" w:hanging="720"/>
      </w:pPr>
      <w:r w:rsidRPr="0001200D">
        <w:t>Ament, C., &amp; Haag, S. (2016b). Security-related stress-a neglected contruct in information systems stress literature. Proceedings of European Conference on Information Systesm (ECIS) İstanbul, Turkey.</w:t>
      </w:r>
    </w:p>
    <w:p w14:paraId="609E6E04" w14:textId="54DD3AFF" w:rsidR="003E5B95" w:rsidRPr="0001200D" w:rsidRDefault="003E5B95" w:rsidP="003E5B95">
      <w:pPr>
        <w:pStyle w:val="EndNoteBibliography"/>
        <w:spacing w:after="240"/>
        <w:ind w:left="720" w:hanging="720"/>
      </w:pPr>
      <w:r w:rsidRPr="0001200D">
        <w:t xml:space="preserve">Anderson, B. B., Vance, A., Kirwan, C. B., Eargle, D., &amp; Jenkins, J. L. (2016). How users perceive and respond to security messages: a NeuroIS research agenda and empirical study. </w:t>
      </w:r>
      <w:r w:rsidRPr="0001200D">
        <w:rPr>
          <w:i/>
        </w:rPr>
        <w:t>European Journal of Information Systems</w:t>
      </w:r>
      <w:r w:rsidRPr="0001200D">
        <w:t>,</w:t>
      </w:r>
      <w:r w:rsidRPr="0001200D">
        <w:rPr>
          <w:i/>
        </w:rPr>
        <w:t xml:space="preserve"> 25</w:t>
      </w:r>
      <w:r w:rsidRPr="0001200D">
        <w:t xml:space="preserve">(4), 364-390. </w:t>
      </w:r>
      <w:r w:rsidRPr="003E5B95">
        <w:t>https://doi.org/10.1057/ejis.2015.21</w:t>
      </w:r>
      <w:r w:rsidRPr="0001200D">
        <w:t xml:space="preserve"> </w:t>
      </w:r>
    </w:p>
    <w:p w14:paraId="38EF6EFD" w14:textId="695EDD0F" w:rsidR="003E5B95" w:rsidRPr="0001200D" w:rsidRDefault="003E5B95" w:rsidP="003E5B95">
      <w:pPr>
        <w:pStyle w:val="EndNoteBibliography"/>
        <w:spacing w:after="240"/>
        <w:ind w:left="720" w:hanging="720"/>
      </w:pPr>
      <w:r w:rsidRPr="0001200D">
        <w:t xml:space="preserve">Armstrong, D., Riemenschneider, C., Buche, M. W., &amp; Armstrong, K. R. (2018). Mitigating turnover intentions: Are all IT workers warriors. </w:t>
      </w:r>
      <w:r w:rsidRPr="0001200D">
        <w:rPr>
          <w:i/>
        </w:rPr>
        <w:t>AIS Transactions on Replication Research</w:t>
      </w:r>
      <w:r w:rsidRPr="0001200D">
        <w:t>,</w:t>
      </w:r>
      <w:r w:rsidRPr="0001200D">
        <w:rPr>
          <w:i/>
        </w:rPr>
        <w:t xml:space="preserve"> 4</w:t>
      </w:r>
      <w:r w:rsidRPr="0001200D">
        <w:t>(1), 1</w:t>
      </w:r>
      <w:r w:rsidR="00BC22C2">
        <w:t>-20</w:t>
      </w:r>
      <w:r w:rsidRPr="0001200D">
        <w:t xml:space="preserve">. </w:t>
      </w:r>
    </w:p>
    <w:p w14:paraId="5481AA17" w14:textId="77777777" w:rsidR="003E5B95" w:rsidRPr="0001200D" w:rsidRDefault="003E5B95" w:rsidP="003E5B95">
      <w:pPr>
        <w:pStyle w:val="EndNoteBibliography"/>
        <w:spacing w:after="240"/>
        <w:ind w:left="720" w:hanging="720"/>
      </w:pPr>
      <w:r w:rsidRPr="0001200D">
        <w:t xml:space="preserve">Armstrong, D. J., Brooks, N. G., &amp; Riemenschneider, C. K. (2015). Exhaustion from information system career experience: Implications for turn-away intention. </w:t>
      </w:r>
      <w:r w:rsidRPr="0001200D">
        <w:rPr>
          <w:i/>
        </w:rPr>
        <w:t>MIS Quarterly</w:t>
      </w:r>
      <w:r w:rsidRPr="0001200D">
        <w:t>,</w:t>
      </w:r>
      <w:r w:rsidRPr="0001200D">
        <w:rPr>
          <w:i/>
        </w:rPr>
        <w:t xml:space="preserve"> 39</w:t>
      </w:r>
      <w:r w:rsidRPr="0001200D">
        <w:t xml:space="preserve">(3), 713-728. </w:t>
      </w:r>
    </w:p>
    <w:p w14:paraId="0D670774" w14:textId="77777777" w:rsidR="003E5B95" w:rsidRPr="0001200D" w:rsidRDefault="003E5B95" w:rsidP="003E5B95">
      <w:pPr>
        <w:pStyle w:val="EndNoteBibliography"/>
        <w:spacing w:after="240"/>
        <w:ind w:left="720" w:hanging="720"/>
      </w:pPr>
      <w:r w:rsidRPr="0001200D">
        <w:t xml:space="preserve">Armstrong, D. J., Riemenschneider, C. K., Allen, M. W., &amp; Reid, M. F. (2007). Advancement, voluntary turnover and women in IT: A cognitive study of work–family conflict. </w:t>
      </w:r>
      <w:r w:rsidRPr="0001200D">
        <w:rPr>
          <w:i/>
        </w:rPr>
        <w:t>Information &amp; Management</w:t>
      </w:r>
      <w:r w:rsidRPr="0001200D">
        <w:t>,</w:t>
      </w:r>
      <w:r w:rsidRPr="0001200D">
        <w:rPr>
          <w:i/>
        </w:rPr>
        <w:t xml:space="preserve"> 44</w:t>
      </w:r>
      <w:r w:rsidRPr="0001200D">
        <w:t xml:space="preserve">(2), 142-153. </w:t>
      </w:r>
    </w:p>
    <w:p w14:paraId="4495B17A" w14:textId="77777777" w:rsidR="003E5B95" w:rsidRPr="0001200D" w:rsidRDefault="003E5B95" w:rsidP="003E5B95">
      <w:pPr>
        <w:pStyle w:val="EndNoteBibliography"/>
        <w:spacing w:after="240"/>
        <w:ind w:left="720" w:hanging="720"/>
      </w:pPr>
      <w:r w:rsidRPr="0001200D">
        <w:t xml:space="preserve">Ayyagari, R., Grover, V., &amp; Purvis, R. (2011). Technostress: technological antecedents and implications. </w:t>
      </w:r>
      <w:r w:rsidRPr="0001200D">
        <w:rPr>
          <w:i/>
        </w:rPr>
        <w:t>MIS Quarterly</w:t>
      </w:r>
      <w:r w:rsidRPr="0001200D">
        <w:t>,</w:t>
      </w:r>
      <w:r w:rsidRPr="0001200D">
        <w:rPr>
          <w:i/>
        </w:rPr>
        <w:t xml:space="preserve"> 35</w:t>
      </w:r>
      <w:r w:rsidRPr="0001200D">
        <w:t xml:space="preserve">(4), 831-858. </w:t>
      </w:r>
    </w:p>
    <w:p w14:paraId="3DC661F9" w14:textId="12782289" w:rsidR="003E5B95" w:rsidRPr="0001200D" w:rsidRDefault="003E5B95" w:rsidP="003E5B95">
      <w:pPr>
        <w:pStyle w:val="EndNoteBibliography"/>
        <w:spacing w:after="240"/>
        <w:ind w:left="720" w:hanging="720"/>
      </w:pPr>
      <w:r w:rsidRPr="0001200D">
        <w:t xml:space="preserve">Beaudry, A., &amp; Pinsonneault, A. (2005). Understanding User Responses to Information Technology: A Coping Model of User Adaptation. </w:t>
      </w:r>
      <w:r w:rsidRPr="0001200D">
        <w:rPr>
          <w:i/>
        </w:rPr>
        <w:t>MIS Quarterly</w:t>
      </w:r>
      <w:r w:rsidRPr="0001200D">
        <w:t>,</w:t>
      </w:r>
      <w:r w:rsidRPr="0001200D">
        <w:rPr>
          <w:i/>
        </w:rPr>
        <w:t xml:space="preserve"> 29</w:t>
      </w:r>
      <w:r w:rsidRPr="0001200D">
        <w:t xml:space="preserve">(3), 493-524. </w:t>
      </w:r>
      <w:r w:rsidRPr="003E5B95">
        <w:t>https://doi.org/10.2307/25148693</w:t>
      </w:r>
      <w:r w:rsidRPr="0001200D">
        <w:t xml:space="preserve"> </w:t>
      </w:r>
    </w:p>
    <w:p w14:paraId="7EA96053" w14:textId="02DC45E6" w:rsidR="003E5B95" w:rsidRPr="0001200D" w:rsidRDefault="003E5B95" w:rsidP="003E5B95">
      <w:pPr>
        <w:pStyle w:val="EndNoteBibliography"/>
        <w:spacing w:after="240"/>
        <w:ind w:left="720" w:hanging="720"/>
      </w:pPr>
      <w:r w:rsidRPr="0001200D">
        <w:t xml:space="preserve">Beaudry, A., &amp; Pinsonneault, A. (2010). The other side of acceptance: studying the direct and indirect effects of emotions on information technology use. </w:t>
      </w:r>
      <w:r w:rsidRPr="0001200D">
        <w:rPr>
          <w:i/>
        </w:rPr>
        <w:t>MIS Quarterly</w:t>
      </w:r>
      <w:r w:rsidRPr="0001200D">
        <w:t>,</w:t>
      </w:r>
      <w:r w:rsidR="000D1F41">
        <w:t xml:space="preserve"> </w:t>
      </w:r>
      <w:r w:rsidR="000D1F41">
        <w:rPr>
          <w:i/>
        </w:rPr>
        <w:t>34</w:t>
      </w:r>
      <w:r w:rsidR="000D1F41" w:rsidRPr="0001200D">
        <w:t>(</w:t>
      </w:r>
      <w:r w:rsidR="000D1F41">
        <w:t>4</w:t>
      </w:r>
      <w:r w:rsidR="000D1F41" w:rsidRPr="0001200D">
        <w:t xml:space="preserve">), </w:t>
      </w:r>
      <w:r w:rsidRPr="0001200D">
        <w:t xml:space="preserve"> 689-710. </w:t>
      </w:r>
    </w:p>
    <w:p w14:paraId="42E14C4F" w14:textId="77777777" w:rsidR="003E5B95" w:rsidRPr="0001200D" w:rsidRDefault="003E5B95" w:rsidP="003E5B95">
      <w:pPr>
        <w:pStyle w:val="EndNoteBibliography"/>
        <w:spacing w:after="240"/>
        <w:ind w:left="720" w:hanging="720"/>
      </w:pPr>
      <w:r w:rsidRPr="0001200D">
        <w:t xml:space="preserve">Beehr, T. A., Jex, S. M., Stacy, B. A., &amp; Murray, M. A. (2000). Work stressors and coworker support as predictors of individual strain and job performance. </w:t>
      </w:r>
      <w:r w:rsidRPr="0001200D">
        <w:rPr>
          <w:i/>
        </w:rPr>
        <w:t>Journal of Organizational Behavior</w:t>
      </w:r>
      <w:r w:rsidRPr="0001200D">
        <w:t>,</w:t>
      </w:r>
      <w:r w:rsidRPr="0001200D">
        <w:rPr>
          <w:i/>
        </w:rPr>
        <w:t xml:space="preserve"> 21</w:t>
      </w:r>
      <w:r w:rsidRPr="0001200D">
        <w:t xml:space="preserve">(4), 391-405. </w:t>
      </w:r>
    </w:p>
    <w:p w14:paraId="58394BCA" w14:textId="510FC334" w:rsidR="003E5B95" w:rsidRPr="0001200D" w:rsidRDefault="003E5B95" w:rsidP="003E5B95">
      <w:pPr>
        <w:pStyle w:val="EndNoteBibliography"/>
        <w:spacing w:after="240"/>
        <w:ind w:left="720" w:hanging="720"/>
      </w:pPr>
      <w:r w:rsidRPr="0001200D">
        <w:lastRenderedPageBreak/>
        <w:t xml:space="preserve">Bhattacherjee, A., Davis, C. J., Connolly, A. J., &amp; Hikmet, N. (2018). User response to mandatory IT use: a coping theory perspective. </w:t>
      </w:r>
      <w:r w:rsidRPr="0001200D">
        <w:rPr>
          <w:i/>
        </w:rPr>
        <w:t>European Journal of Information Systems</w:t>
      </w:r>
      <w:r w:rsidRPr="0001200D">
        <w:t>,</w:t>
      </w:r>
      <w:r w:rsidRPr="0001200D">
        <w:rPr>
          <w:i/>
        </w:rPr>
        <w:t xml:space="preserve"> 27</w:t>
      </w:r>
      <w:r w:rsidRPr="0001200D">
        <w:t xml:space="preserve">(4), 395-414. </w:t>
      </w:r>
      <w:r w:rsidRPr="003E5B95">
        <w:t>https://doi.org/10.1057/s41303-017-0047-0</w:t>
      </w:r>
      <w:r w:rsidRPr="0001200D">
        <w:t xml:space="preserve"> </w:t>
      </w:r>
    </w:p>
    <w:p w14:paraId="291D5D1A" w14:textId="77777777" w:rsidR="003E5B95" w:rsidRPr="0001200D" w:rsidRDefault="003E5B95" w:rsidP="003E5B95">
      <w:pPr>
        <w:pStyle w:val="EndNoteBibliography"/>
        <w:spacing w:after="240"/>
        <w:ind w:left="720" w:hanging="720"/>
      </w:pPr>
      <w:r w:rsidRPr="0001200D">
        <w:t xml:space="preserve">Blanding, M. (2015). </w:t>
      </w:r>
      <w:r w:rsidRPr="0001200D">
        <w:rPr>
          <w:i/>
        </w:rPr>
        <w:t xml:space="preserve">Workplace Stress Responsible For Up To $190B In Annual U.S. Healthcare Costs </w:t>
      </w:r>
      <w:r w:rsidRPr="0001200D">
        <w:t xml:space="preserve">Retrieved 25 Jan, 2020 from </w:t>
      </w:r>
      <w:r w:rsidRPr="003E5B95">
        <w:t>https://www.forbes.com/sites/hbsworkingknowledge/2015/01/26/workplace-stress-responsible-for-up-to-190-billion-in-annual-u-s-heathcare-costs/#40c35f0e235a</w:t>
      </w:r>
    </w:p>
    <w:p w14:paraId="66896451" w14:textId="77777777" w:rsidR="003E5B95" w:rsidRPr="0001200D" w:rsidRDefault="003E5B95" w:rsidP="003E5B95">
      <w:pPr>
        <w:pStyle w:val="EndNoteBibliography"/>
        <w:spacing w:after="240"/>
        <w:ind w:left="720" w:hanging="720"/>
      </w:pPr>
      <w:r w:rsidRPr="0001200D">
        <w:t xml:space="preserve">Brody, B. A. (2019). </w:t>
      </w:r>
      <w:r w:rsidRPr="0001200D">
        <w:rPr>
          <w:i/>
        </w:rPr>
        <w:t>Cybersecurity akin to being in a war zone—you have to be “left of boom” to survive</w:t>
      </w:r>
      <w:r w:rsidRPr="0001200D">
        <w:t xml:space="preserve">. Retrieved 25 Oct, 2019 from </w:t>
      </w:r>
      <w:r w:rsidRPr="003E5B95">
        <w:t>http://www.isaca.org/Knowledge-Center/Blog/Lists/Posts/Post.aspx?ID=520&amp;utm_referrer=direct%2Fnot%20provided</w:t>
      </w:r>
    </w:p>
    <w:p w14:paraId="3FDA6845" w14:textId="77777777" w:rsidR="003E5B95" w:rsidRPr="0001200D" w:rsidRDefault="003E5B95" w:rsidP="003E5B95">
      <w:pPr>
        <w:pStyle w:val="EndNoteBibliography"/>
        <w:spacing w:after="240"/>
        <w:ind w:left="720" w:hanging="720"/>
      </w:pPr>
      <w:r w:rsidRPr="0001200D">
        <w:t xml:space="preserve">Bryant, F. B., &amp; Veroff, J. (2007). </w:t>
      </w:r>
      <w:r w:rsidRPr="0001200D">
        <w:rPr>
          <w:i/>
        </w:rPr>
        <w:t>Savoring: A new model of positive experience</w:t>
      </w:r>
      <w:r w:rsidRPr="0001200D">
        <w:t xml:space="preserve">. Lawrence Erlbaum Associates, Inc. </w:t>
      </w:r>
    </w:p>
    <w:p w14:paraId="38DEE7AC" w14:textId="6F4F278A" w:rsidR="003E5B95" w:rsidRPr="0001200D" w:rsidRDefault="003E5B95" w:rsidP="003E5B95">
      <w:pPr>
        <w:pStyle w:val="EndNoteBibliography"/>
        <w:spacing w:after="240"/>
        <w:ind w:left="720" w:hanging="720"/>
      </w:pPr>
      <w:r w:rsidRPr="0001200D">
        <w:t xml:space="preserve">Budnick, C. J., Rogers, A. P., &amp; Barber, L. K. (2020). The fear of missing out at work: Examining costs and benefits to employee health and motivation. </w:t>
      </w:r>
      <w:r w:rsidRPr="0001200D">
        <w:rPr>
          <w:i/>
        </w:rPr>
        <w:t>Computers in Human Behavior</w:t>
      </w:r>
      <w:r w:rsidRPr="0001200D">
        <w:t>,</w:t>
      </w:r>
      <w:r w:rsidRPr="0001200D">
        <w:rPr>
          <w:i/>
        </w:rPr>
        <w:t xml:space="preserve"> 104</w:t>
      </w:r>
      <w:r w:rsidRPr="0001200D">
        <w:t xml:space="preserve">, 106161. </w:t>
      </w:r>
      <w:r w:rsidRPr="003E5B95">
        <w:t>https://doi.org/10.1016/j.chb.2019.106161</w:t>
      </w:r>
      <w:r w:rsidRPr="0001200D">
        <w:t xml:space="preserve"> </w:t>
      </w:r>
    </w:p>
    <w:p w14:paraId="5A6A8BB2" w14:textId="77777777" w:rsidR="003E5B95" w:rsidRPr="0001200D" w:rsidRDefault="003E5B95" w:rsidP="003E5B95">
      <w:pPr>
        <w:pStyle w:val="EndNoteBibliography"/>
        <w:spacing w:after="240"/>
        <w:ind w:left="720" w:hanging="720"/>
      </w:pPr>
      <w:r w:rsidRPr="0001200D">
        <w:t xml:space="preserve">Califf, C. B., Sarker, S., &amp; Sarker, S. (2020). The Bright and Dark Sides of Technostress: A Mixed-Methods Study Involving Healthcare IT. </w:t>
      </w:r>
      <w:r w:rsidRPr="0001200D">
        <w:rPr>
          <w:i/>
        </w:rPr>
        <w:t>MIS Quarterly</w:t>
      </w:r>
      <w:r w:rsidRPr="0001200D">
        <w:t>,</w:t>
      </w:r>
      <w:r w:rsidRPr="0001200D">
        <w:rPr>
          <w:i/>
        </w:rPr>
        <w:t xml:space="preserve"> 44</w:t>
      </w:r>
      <w:r w:rsidRPr="0001200D">
        <w:t xml:space="preserve">(2), 809-856. </w:t>
      </w:r>
    </w:p>
    <w:p w14:paraId="447E202D" w14:textId="77777777" w:rsidR="003E5B95" w:rsidRPr="0001200D" w:rsidRDefault="003E5B95" w:rsidP="003E5B95">
      <w:pPr>
        <w:pStyle w:val="EndNoteBibliography"/>
        <w:spacing w:after="240"/>
        <w:ind w:left="720" w:hanging="720"/>
      </w:pPr>
      <w:r w:rsidRPr="0001200D">
        <w:t xml:space="preserve">Cavanaugh, M. A., Boswell, W. R., Roehling, M. V., &amp; Boudreau, J. W. (2000). An empirical examination of self-reported work stress among US managers. </w:t>
      </w:r>
      <w:r w:rsidRPr="0001200D">
        <w:rPr>
          <w:i/>
        </w:rPr>
        <w:t>Journal of Applied Psychology</w:t>
      </w:r>
      <w:r w:rsidRPr="0001200D">
        <w:t>,</w:t>
      </w:r>
      <w:r w:rsidRPr="0001200D">
        <w:rPr>
          <w:i/>
        </w:rPr>
        <w:t xml:space="preserve"> 85</w:t>
      </w:r>
      <w:r w:rsidRPr="0001200D">
        <w:t xml:space="preserve">(1), 65-74. </w:t>
      </w:r>
    </w:p>
    <w:p w14:paraId="35A5497F" w14:textId="77777777" w:rsidR="003E5B95" w:rsidRPr="0001200D" w:rsidRDefault="003E5B95" w:rsidP="003E5B95">
      <w:pPr>
        <w:pStyle w:val="EndNoteBibliography"/>
        <w:spacing w:after="240"/>
        <w:ind w:left="720" w:hanging="720"/>
      </w:pPr>
      <w:r w:rsidRPr="0001200D">
        <w:t xml:space="preserve">Cavusoglu, H., Mishra, B., &amp; Raghunathan, S. (2005). The value of intrusion detection systems in information technology security architecture. </w:t>
      </w:r>
      <w:r w:rsidRPr="0001200D">
        <w:rPr>
          <w:i/>
        </w:rPr>
        <w:t>Information Systems Research</w:t>
      </w:r>
      <w:r w:rsidRPr="0001200D">
        <w:t>,</w:t>
      </w:r>
      <w:r w:rsidRPr="0001200D">
        <w:rPr>
          <w:i/>
        </w:rPr>
        <w:t xml:space="preserve"> 16</w:t>
      </w:r>
      <w:r w:rsidRPr="0001200D">
        <w:t xml:space="preserve">(1), 28-46. </w:t>
      </w:r>
    </w:p>
    <w:p w14:paraId="21015D3D" w14:textId="77777777" w:rsidR="003E5B95" w:rsidRPr="0001200D" w:rsidRDefault="003E5B95" w:rsidP="003E5B95">
      <w:pPr>
        <w:pStyle w:val="EndNoteBibliography"/>
        <w:spacing w:after="240"/>
        <w:ind w:left="720" w:hanging="720"/>
      </w:pPr>
      <w:r w:rsidRPr="0001200D">
        <w:t xml:space="preserve">Chen, A., &amp; Karahanna, E. (2018). Life interrupted: The effects of technology-mediated work interruptions on work and nonwork outcomes. </w:t>
      </w:r>
      <w:r w:rsidRPr="0001200D">
        <w:rPr>
          <w:i/>
        </w:rPr>
        <w:t>MIS Quarterly</w:t>
      </w:r>
      <w:r w:rsidRPr="0001200D">
        <w:t>,</w:t>
      </w:r>
      <w:r w:rsidRPr="0001200D">
        <w:rPr>
          <w:i/>
        </w:rPr>
        <w:t xml:space="preserve"> 42</w:t>
      </w:r>
      <w:r w:rsidRPr="0001200D">
        <w:t xml:space="preserve">(4), 1023-1042. </w:t>
      </w:r>
    </w:p>
    <w:p w14:paraId="4C62A74E" w14:textId="3F9ECBD0" w:rsidR="003E5B95" w:rsidRPr="0001200D" w:rsidRDefault="003E5B95" w:rsidP="003E5B95">
      <w:pPr>
        <w:pStyle w:val="EndNoteBibliography"/>
        <w:spacing w:after="240"/>
        <w:ind w:left="720" w:hanging="720"/>
      </w:pPr>
      <w:r w:rsidRPr="0001200D">
        <w:t xml:space="preserve">Chilton, M. A., Hardgrave, B. C., &amp; Armstrong, D. J. (2005). Person-Job Cognitive Style Fit for Software Developers: The Effect on Strain and Performance. </w:t>
      </w:r>
      <w:r w:rsidRPr="0001200D">
        <w:rPr>
          <w:i/>
        </w:rPr>
        <w:t>Journal of Management Information Systems</w:t>
      </w:r>
      <w:r w:rsidRPr="0001200D">
        <w:t>,</w:t>
      </w:r>
      <w:r w:rsidRPr="0001200D">
        <w:rPr>
          <w:i/>
        </w:rPr>
        <w:t xml:space="preserve"> 22</w:t>
      </w:r>
      <w:r w:rsidRPr="0001200D">
        <w:t xml:space="preserve">(2), 193-226. </w:t>
      </w:r>
      <w:r w:rsidRPr="003E5B95">
        <w:t>https://doi.org/10.1080/07421222.2005.11045849</w:t>
      </w:r>
      <w:r w:rsidRPr="0001200D">
        <w:t xml:space="preserve"> </w:t>
      </w:r>
    </w:p>
    <w:p w14:paraId="7FB93360" w14:textId="7788D104" w:rsidR="003E5B95" w:rsidRPr="0001200D" w:rsidRDefault="003E5B95" w:rsidP="003E5B95">
      <w:pPr>
        <w:pStyle w:val="EndNoteBibliography"/>
        <w:spacing w:after="240"/>
        <w:ind w:left="720" w:hanging="720"/>
      </w:pPr>
      <w:r w:rsidRPr="0001200D">
        <w:t xml:space="preserve">Cooper, C. L., Dewe, P. J., &amp; O'Driscoll, M. P. (2001). </w:t>
      </w:r>
      <w:r w:rsidRPr="0001200D">
        <w:rPr>
          <w:i/>
        </w:rPr>
        <w:t>Organizational stress: A review and critique of theory, research, and applications</w:t>
      </w:r>
      <w:r w:rsidRPr="0001200D">
        <w:t xml:space="preserve">. Thousand Oaks, CA: Sage. </w:t>
      </w:r>
    </w:p>
    <w:p w14:paraId="7EF4D41F" w14:textId="597E0C4B" w:rsidR="003E5B95" w:rsidRPr="0001200D" w:rsidRDefault="003E5B95" w:rsidP="003E5B95">
      <w:pPr>
        <w:pStyle w:val="EndNoteBibliography"/>
        <w:spacing w:after="240"/>
        <w:ind w:left="720" w:hanging="720"/>
      </w:pPr>
      <w:r w:rsidRPr="0001200D">
        <w:t xml:space="preserve">Crossler, R. E., Di Gangi, P. M., Johnston, A. C., Bélanger, F., &amp; Warkentin, M. (2018). Providing Theoretical Foundations: Developing an Integrated Set of Guidelines for Theory Adaptation. </w:t>
      </w:r>
      <w:r w:rsidRPr="0001200D">
        <w:rPr>
          <w:i/>
        </w:rPr>
        <w:t>Communications of the Association for Information Systems</w:t>
      </w:r>
      <w:r w:rsidRPr="0001200D">
        <w:t>,</w:t>
      </w:r>
      <w:r w:rsidRPr="0001200D">
        <w:rPr>
          <w:i/>
        </w:rPr>
        <w:t xml:space="preserve"> 43</w:t>
      </w:r>
      <w:r w:rsidRPr="0001200D">
        <w:t xml:space="preserve">(1), </w:t>
      </w:r>
      <w:r w:rsidR="000D1F41">
        <w:t>566-597</w:t>
      </w:r>
      <w:r w:rsidRPr="0001200D">
        <w:t xml:space="preserve">. </w:t>
      </w:r>
    </w:p>
    <w:p w14:paraId="117A98FC" w14:textId="77777777" w:rsidR="003E5B95" w:rsidRPr="0001200D" w:rsidRDefault="003E5B95" w:rsidP="003E5B95">
      <w:pPr>
        <w:pStyle w:val="EndNoteBibliography"/>
        <w:spacing w:after="240"/>
        <w:ind w:left="720" w:hanging="720"/>
      </w:pPr>
      <w:r w:rsidRPr="0001200D">
        <w:lastRenderedPageBreak/>
        <w:t xml:space="preserve">D'Arcy, J., Herath, T., &amp; Shoss, M. K. (2014). Understanding employee responses to stressful information security requirements: A coping perspective. </w:t>
      </w:r>
      <w:r w:rsidRPr="0001200D">
        <w:rPr>
          <w:i/>
        </w:rPr>
        <w:t>Journal of Management Information Systems</w:t>
      </w:r>
      <w:r w:rsidRPr="0001200D">
        <w:t>,</w:t>
      </w:r>
      <w:r w:rsidRPr="0001200D">
        <w:rPr>
          <w:i/>
        </w:rPr>
        <w:t xml:space="preserve"> 31</w:t>
      </w:r>
      <w:r w:rsidRPr="0001200D">
        <w:t xml:space="preserve">(2), 285-318. </w:t>
      </w:r>
    </w:p>
    <w:p w14:paraId="274BA86E" w14:textId="77777777" w:rsidR="003E5B95" w:rsidRPr="0001200D" w:rsidRDefault="003E5B95" w:rsidP="003E5B95">
      <w:pPr>
        <w:pStyle w:val="EndNoteBibliography"/>
        <w:spacing w:after="240"/>
        <w:ind w:left="720" w:hanging="720"/>
      </w:pPr>
      <w:r w:rsidRPr="0001200D">
        <w:t xml:space="preserve">D'Arcy, J., Herath, T., Yim, M.-S., Nam, K., &amp; Rao, H. R. (2018). Employee moral disengagement in response to stressful information security requirements: a methodological replication of a coping-based model. </w:t>
      </w:r>
      <w:r w:rsidRPr="0001200D">
        <w:rPr>
          <w:i/>
        </w:rPr>
        <w:t>AIS Transactions on Replication Research</w:t>
      </w:r>
      <w:r w:rsidRPr="0001200D">
        <w:t>,</w:t>
      </w:r>
      <w:r w:rsidRPr="0001200D">
        <w:rPr>
          <w:i/>
        </w:rPr>
        <w:t xml:space="preserve"> 4</w:t>
      </w:r>
      <w:r w:rsidRPr="0001200D">
        <w:t xml:space="preserve">(1), 1-18. </w:t>
      </w:r>
    </w:p>
    <w:p w14:paraId="1C89563C" w14:textId="77777777" w:rsidR="003E5B95" w:rsidRPr="0001200D" w:rsidRDefault="003E5B95" w:rsidP="003E5B95">
      <w:pPr>
        <w:pStyle w:val="EndNoteBibliography"/>
        <w:spacing w:after="240"/>
        <w:ind w:left="720" w:hanging="720"/>
      </w:pPr>
      <w:r w:rsidRPr="0001200D">
        <w:t xml:space="preserve">D’Arcy, J., Herath, T., Yim, M.-S., Kichan, N., &amp; Raghav, H. (2018). Employee moral disengagement in response to stressful information security requirements: a methodological replication of a coping-based model. </w:t>
      </w:r>
      <w:r w:rsidRPr="0001200D">
        <w:rPr>
          <w:i/>
        </w:rPr>
        <w:t>AIS Transactions on Replication Research</w:t>
      </w:r>
      <w:r w:rsidRPr="0001200D">
        <w:t>,</w:t>
      </w:r>
      <w:r w:rsidRPr="0001200D">
        <w:rPr>
          <w:i/>
        </w:rPr>
        <w:t xml:space="preserve"> 4</w:t>
      </w:r>
      <w:r w:rsidRPr="0001200D">
        <w:t xml:space="preserve">(8), 1-17. </w:t>
      </w:r>
    </w:p>
    <w:p w14:paraId="5BBE0034" w14:textId="77777777" w:rsidR="003E5B95" w:rsidRPr="0001200D" w:rsidRDefault="003E5B95" w:rsidP="003E5B95">
      <w:pPr>
        <w:pStyle w:val="EndNoteBibliography"/>
        <w:spacing w:after="240"/>
        <w:ind w:left="720" w:hanging="720"/>
      </w:pPr>
      <w:r w:rsidRPr="0001200D">
        <w:t xml:space="preserve">D’Arcy, J., &amp; Teh, P.-L. (2019). Predicting employee information security policy compliance on a daily basis: the interplay of security-related stress, emotions, and neutralization. </w:t>
      </w:r>
      <w:r w:rsidRPr="0001200D">
        <w:rPr>
          <w:i/>
        </w:rPr>
        <w:t>Information &amp; Management</w:t>
      </w:r>
      <w:r w:rsidRPr="0001200D">
        <w:t>,</w:t>
      </w:r>
      <w:r w:rsidRPr="0001200D">
        <w:rPr>
          <w:i/>
        </w:rPr>
        <w:t xml:space="preserve"> 56</w:t>
      </w:r>
      <w:r w:rsidRPr="0001200D">
        <w:t xml:space="preserve">(7), 103151. </w:t>
      </w:r>
    </w:p>
    <w:p w14:paraId="231AC4E0" w14:textId="77777777" w:rsidR="003E5B95" w:rsidRPr="0001200D" w:rsidRDefault="003E5B95" w:rsidP="003E5B95">
      <w:pPr>
        <w:pStyle w:val="EndNoteBibliography"/>
        <w:spacing w:after="240"/>
        <w:ind w:left="720" w:hanging="720"/>
      </w:pPr>
      <w:r w:rsidRPr="0001200D">
        <w:t xml:space="preserve">Demerouti, E., &amp; Bakker, A. B. (2011). The job demands-resources model: Challenges for future research. </w:t>
      </w:r>
      <w:r w:rsidRPr="0001200D">
        <w:rPr>
          <w:i/>
        </w:rPr>
        <w:t>SA Jounral of Industrial Psychology</w:t>
      </w:r>
      <w:r w:rsidRPr="0001200D">
        <w:t>,</w:t>
      </w:r>
      <w:r w:rsidRPr="0001200D">
        <w:rPr>
          <w:i/>
        </w:rPr>
        <w:t xml:space="preserve"> 37</w:t>
      </w:r>
      <w:r w:rsidRPr="0001200D">
        <w:t xml:space="preserve">(2), 1-9. </w:t>
      </w:r>
    </w:p>
    <w:p w14:paraId="54FF9420" w14:textId="77777777" w:rsidR="003E5B95" w:rsidRPr="0001200D" w:rsidRDefault="003E5B95" w:rsidP="003E5B95">
      <w:pPr>
        <w:pStyle w:val="EndNoteBibliography"/>
        <w:spacing w:after="240"/>
        <w:ind w:left="720" w:hanging="720"/>
      </w:pPr>
      <w:r w:rsidRPr="0001200D">
        <w:t xml:space="preserve">Demerouti, E., Bakker, A. B., Nachreiner, F., &amp; Schaufeli, W. B. (2000). A model of burnout and life satisfaction amongst nurses. </w:t>
      </w:r>
      <w:r w:rsidRPr="0001200D">
        <w:rPr>
          <w:i/>
        </w:rPr>
        <w:t>Journal of Advanced Nursing 32</w:t>
      </w:r>
      <w:r w:rsidRPr="0001200D">
        <w:t xml:space="preserve">(2), 454-464. </w:t>
      </w:r>
    </w:p>
    <w:p w14:paraId="6BE265CA" w14:textId="77777777" w:rsidR="003E5B95" w:rsidRPr="0001200D" w:rsidRDefault="003E5B95" w:rsidP="003E5B95">
      <w:pPr>
        <w:pStyle w:val="EndNoteBibliography"/>
        <w:spacing w:after="240"/>
        <w:ind w:left="720" w:hanging="720"/>
      </w:pPr>
      <w:r w:rsidRPr="0001200D">
        <w:t xml:space="preserve">Dimoka, A., Pavlou, P. A., &amp; Davis, F. D. (2011). Research Commentary: NeuroIS: The Potential of Cognitive Neuroscience for Information Systems Research. </w:t>
      </w:r>
      <w:r w:rsidRPr="0001200D">
        <w:rPr>
          <w:i/>
        </w:rPr>
        <w:t>Information Systems Research</w:t>
      </w:r>
      <w:r w:rsidRPr="0001200D">
        <w:t>,</w:t>
      </w:r>
      <w:r w:rsidRPr="0001200D">
        <w:rPr>
          <w:i/>
        </w:rPr>
        <w:t xml:space="preserve"> 22</w:t>
      </w:r>
      <w:r w:rsidRPr="0001200D">
        <w:t xml:space="preserve">(4), 687-702. </w:t>
      </w:r>
      <w:r w:rsidRPr="003E5B95">
        <w:t>http://www.jstor.org/stable/23207657</w:t>
      </w:r>
      <w:r w:rsidRPr="0001200D">
        <w:t xml:space="preserve"> </w:t>
      </w:r>
    </w:p>
    <w:p w14:paraId="6767F23D" w14:textId="3380D49F" w:rsidR="003E5B95" w:rsidRPr="0001200D" w:rsidRDefault="003E5B95" w:rsidP="003E5B95">
      <w:pPr>
        <w:pStyle w:val="EndNoteBibliography"/>
        <w:spacing w:after="240"/>
        <w:ind w:left="720" w:hanging="720"/>
      </w:pPr>
      <w:r w:rsidRPr="0001200D">
        <w:t xml:space="preserve">Edwards, J. A., &amp; Billsberry, J. (2010). Testing a Multidimensional Theory of Person-Environment Fit. </w:t>
      </w:r>
      <w:r w:rsidRPr="0001200D">
        <w:rPr>
          <w:i/>
        </w:rPr>
        <w:t xml:space="preserve">Journal of </w:t>
      </w:r>
      <w:r w:rsidR="000D1F41">
        <w:rPr>
          <w:i/>
        </w:rPr>
        <w:t>M</w:t>
      </w:r>
      <w:r w:rsidRPr="0001200D">
        <w:rPr>
          <w:i/>
        </w:rPr>
        <w:t xml:space="preserve">anagerial </w:t>
      </w:r>
      <w:r w:rsidR="000D1F41">
        <w:rPr>
          <w:i/>
        </w:rPr>
        <w:t>I</w:t>
      </w:r>
      <w:r w:rsidRPr="0001200D">
        <w:rPr>
          <w:i/>
        </w:rPr>
        <w:t>ssues</w:t>
      </w:r>
      <w:r w:rsidRPr="0001200D">
        <w:t>,</w:t>
      </w:r>
      <w:r w:rsidRPr="0001200D">
        <w:rPr>
          <w:i/>
        </w:rPr>
        <w:t xml:space="preserve"> 22</w:t>
      </w:r>
      <w:r w:rsidRPr="0001200D">
        <w:t xml:space="preserve">(4), 476-493. </w:t>
      </w:r>
      <w:r w:rsidRPr="003E5B95">
        <w:t>http://www.jstor.org/stable/25822526</w:t>
      </w:r>
      <w:r w:rsidRPr="0001200D">
        <w:t xml:space="preserve"> </w:t>
      </w:r>
    </w:p>
    <w:p w14:paraId="19C4F1BE" w14:textId="77777777" w:rsidR="003E5B95" w:rsidRPr="0001200D" w:rsidRDefault="003E5B95" w:rsidP="003E5B95">
      <w:pPr>
        <w:pStyle w:val="EndNoteBibliography"/>
        <w:spacing w:after="240"/>
        <w:ind w:left="720" w:hanging="720"/>
      </w:pPr>
      <w:r w:rsidRPr="0001200D">
        <w:t xml:space="preserve">Edwards, J. R. (1992). A cybernetic theory of stress, coping, and well-being in organizations. </w:t>
      </w:r>
      <w:r w:rsidRPr="0001200D">
        <w:rPr>
          <w:i/>
        </w:rPr>
        <w:t>Academy of Management Review</w:t>
      </w:r>
      <w:r w:rsidRPr="0001200D">
        <w:t>,</w:t>
      </w:r>
      <w:r w:rsidRPr="0001200D">
        <w:rPr>
          <w:i/>
        </w:rPr>
        <w:t xml:space="preserve"> 17</w:t>
      </w:r>
      <w:r w:rsidRPr="0001200D">
        <w:t xml:space="preserve">(2), 238-274. </w:t>
      </w:r>
    </w:p>
    <w:p w14:paraId="337AC8DC" w14:textId="77777777" w:rsidR="003E5B95" w:rsidRPr="0001200D" w:rsidRDefault="003E5B95" w:rsidP="003E5B95">
      <w:pPr>
        <w:pStyle w:val="EndNoteBibliography"/>
        <w:spacing w:after="240"/>
        <w:ind w:left="720" w:hanging="720"/>
      </w:pPr>
      <w:r w:rsidRPr="0001200D">
        <w:t xml:space="preserve">Edwards, J. R. (1996). An examination of competing versions of the person-environment fit approach to stress. </w:t>
      </w:r>
      <w:r w:rsidRPr="0001200D">
        <w:rPr>
          <w:i/>
        </w:rPr>
        <w:t>Academy of Management Journal</w:t>
      </w:r>
      <w:r w:rsidRPr="0001200D">
        <w:t>,</w:t>
      </w:r>
      <w:r w:rsidRPr="0001200D">
        <w:rPr>
          <w:i/>
        </w:rPr>
        <w:t xml:space="preserve"> 39</w:t>
      </w:r>
      <w:r w:rsidRPr="0001200D">
        <w:t xml:space="preserve">(2), 292-339. </w:t>
      </w:r>
    </w:p>
    <w:p w14:paraId="08787AAA" w14:textId="77777777" w:rsidR="003E5B95" w:rsidRPr="0001200D" w:rsidRDefault="003E5B95" w:rsidP="003E5B95">
      <w:pPr>
        <w:pStyle w:val="EndNoteBibliography"/>
        <w:spacing w:after="240"/>
        <w:ind w:left="720" w:hanging="720"/>
      </w:pPr>
      <w:r w:rsidRPr="0001200D">
        <w:t xml:space="preserve">Edwards, J. R., &amp; Cooper, C. L. (1990). The person‐environment fit approach to stress: recurring problems and some suggested solutions. </w:t>
      </w:r>
      <w:r w:rsidRPr="0001200D">
        <w:rPr>
          <w:i/>
        </w:rPr>
        <w:t>Journal of Organizational Behavior</w:t>
      </w:r>
      <w:r w:rsidRPr="0001200D">
        <w:t>,</w:t>
      </w:r>
      <w:r w:rsidRPr="0001200D">
        <w:rPr>
          <w:i/>
        </w:rPr>
        <w:t xml:space="preserve"> 11</w:t>
      </w:r>
      <w:r w:rsidRPr="0001200D">
        <w:t xml:space="preserve">(4), 293-307. </w:t>
      </w:r>
    </w:p>
    <w:p w14:paraId="11067DF7" w14:textId="2D2F8D94" w:rsidR="003E5B95" w:rsidRPr="0001200D" w:rsidRDefault="003E5B95" w:rsidP="003E5B95">
      <w:pPr>
        <w:pStyle w:val="EndNoteBibliography"/>
        <w:spacing w:after="240"/>
        <w:ind w:left="720" w:hanging="720"/>
      </w:pPr>
      <w:r w:rsidRPr="0001200D">
        <w:t xml:space="preserve">Elie-Dit-Cosaque, C. M., &amp; Straub, D. W. (2011). Opening the black box of system usage: user adaptation to disruptive IT. </w:t>
      </w:r>
      <w:r w:rsidRPr="0001200D">
        <w:rPr>
          <w:i/>
        </w:rPr>
        <w:t>European Journal of Information Systems</w:t>
      </w:r>
      <w:r w:rsidRPr="0001200D">
        <w:t>,</w:t>
      </w:r>
      <w:r w:rsidRPr="0001200D">
        <w:rPr>
          <w:i/>
        </w:rPr>
        <w:t xml:space="preserve"> 20</w:t>
      </w:r>
      <w:r w:rsidRPr="0001200D">
        <w:t xml:space="preserve">(5), 589-607. </w:t>
      </w:r>
      <w:r w:rsidRPr="003E5B95">
        <w:t>https://doi.org/10.1057/ejis.2010.23</w:t>
      </w:r>
      <w:r w:rsidRPr="0001200D">
        <w:t xml:space="preserve"> </w:t>
      </w:r>
    </w:p>
    <w:p w14:paraId="411B14AB" w14:textId="77777777" w:rsidR="003E5B95" w:rsidRPr="0001200D" w:rsidRDefault="003E5B95" w:rsidP="003E5B95">
      <w:pPr>
        <w:pStyle w:val="EndNoteBibliography"/>
        <w:spacing w:after="240"/>
        <w:ind w:left="720" w:hanging="720"/>
      </w:pPr>
      <w:r w:rsidRPr="0001200D">
        <w:t xml:space="preserve">Fadel, K. J. (2012). User adaptation and infusion of information systems. </w:t>
      </w:r>
      <w:r w:rsidRPr="0001200D">
        <w:rPr>
          <w:i/>
        </w:rPr>
        <w:t>Journal of Computer Information Systems</w:t>
      </w:r>
      <w:r w:rsidRPr="0001200D">
        <w:t>,</w:t>
      </w:r>
      <w:r w:rsidRPr="0001200D">
        <w:rPr>
          <w:i/>
        </w:rPr>
        <w:t xml:space="preserve"> 52</w:t>
      </w:r>
      <w:r w:rsidRPr="0001200D">
        <w:t xml:space="preserve">(3), 1-10. </w:t>
      </w:r>
    </w:p>
    <w:p w14:paraId="46F4B6D8" w14:textId="77777777" w:rsidR="003E5B95" w:rsidRPr="0001200D" w:rsidRDefault="003E5B95" w:rsidP="003E5B95">
      <w:pPr>
        <w:pStyle w:val="EndNoteBibliography"/>
        <w:spacing w:after="240"/>
        <w:ind w:left="720" w:hanging="720"/>
      </w:pPr>
      <w:r w:rsidRPr="0001200D">
        <w:lastRenderedPageBreak/>
        <w:t xml:space="preserve">Fischer, T., &amp; Riedl, R. (2017). Technostress research: A nurturing ground for measurement pluralism? </w:t>
      </w:r>
      <w:r w:rsidRPr="0001200D">
        <w:rPr>
          <w:i/>
        </w:rPr>
        <w:t>Communications of the Association for Information Systems</w:t>
      </w:r>
      <w:r w:rsidRPr="0001200D">
        <w:t>,</w:t>
      </w:r>
      <w:r w:rsidRPr="0001200D">
        <w:rPr>
          <w:i/>
        </w:rPr>
        <w:t xml:space="preserve"> 40</w:t>
      </w:r>
      <w:r w:rsidRPr="0001200D">
        <w:t xml:space="preserve">(1), 375-401. </w:t>
      </w:r>
    </w:p>
    <w:p w14:paraId="35174453" w14:textId="77777777" w:rsidR="003E5B95" w:rsidRPr="0001200D" w:rsidRDefault="003E5B95" w:rsidP="003E5B95">
      <w:pPr>
        <w:pStyle w:val="EndNoteBibliography"/>
        <w:spacing w:after="240"/>
        <w:ind w:left="720" w:hanging="720"/>
      </w:pPr>
      <w:r w:rsidRPr="0001200D">
        <w:t xml:space="preserve">Folkman, S., &amp; Lazarus, R. S. (1985). If it changes it must be a process: study of emotion and coping during three stages of a college examination. </w:t>
      </w:r>
      <w:r w:rsidRPr="0001200D">
        <w:rPr>
          <w:i/>
        </w:rPr>
        <w:t>Journal of Personality and Social Psychology</w:t>
      </w:r>
      <w:r w:rsidRPr="0001200D">
        <w:t>,</w:t>
      </w:r>
      <w:r w:rsidRPr="0001200D">
        <w:rPr>
          <w:i/>
        </w:rPr>
        <w:t xml:space="preserve"> 48</w:t>
      </w:r>
      <w:r w:rsidRPr="0001200D">
        <w:t xml:space="preserve">(1), 150-170. </w:t>
      </w:r>
    </w:p>
    <w:p w14:paraId="58A50568" w14:textId="77777777" w:rsidR="003E5B95" w:rsidRPr="0001200D" w:rsidRDefault="003E5B95" w:rsidP="003E5B95">
      <w:pPr>
        <w:pStyle w:val="EndNoteBibliography"/>
        <w:spacing w:after="240"/>
        <w:ind w:left="720" w:hanging="720"/>
      </w:pPr>
      <w:r w:rsidRPr="0001200D">
        <w:t xml:space="preserve">Fox, M. L., Dwyer, D. J., &amp; Ganster, D. C. (1993). Effects of stressful job demands and control on physiological and attitudinal outcomes in a hospital setting. </w:t>
      </w:r>
      <w:r w:rsidRPr="0001200D">
        <w:rPr>
          <w:i/>
        </w:rPr>
        <w:t>Academy of Management Journal</w:t>
      </w:r>
      <w:r w:rsidRPr="0001200D">
        <w:t>,</w:t>
      </w:r>
      <w:r w:rsidRPr="0001200D">
        <w:rPr>
          <w:i/>
        </w:rPr>
        <w:t xml:space="preserve"> 36</w:t>
      </w:r>
      <w:r w:rsidRPr="0001200D">
        <w:t xml:space="preserve">(2), 289-318. </w:t>
      </w:r>
    </w:p>
    <w:p w14:paraId="4DCD5E24" w14:textId="77777777" w:rsidR="003E5B95" w:rsidRPr="0001200D" w:rsidRDefault="003E5B95" w:rsidP="003E5B95">
      <w:pPr>
        <w:pStyle w:val="EndNoteBibliography"/>
        <w:spacing w:after="240"/>
        <w:ind w:left="720" w:hanging="720"/>
      </w:pPr>
      <w:r w:rsidRPr="0001200D">
        <w:t xml:space="preserve">Fuglseth, A. M., &amp; Sørebø, Ø. (2014). The effects of technostress within the context of employee use of ICT. </w:t>
      </w:r>
      <w:r w:rsidRPr="0001200D">
        <w:rPr>
          <w:i/>
        </w:rPr>
        <w:t>Computers in Human Behavior</w:t>
      </w:r>
      <w:r w:rsidRPr="0001200D">
        <w:t>,</w:t>
      </w:r>
      <w:r w:rsidRPr="0001200D">
        <w:rPr>
          <w:i/>
        </w:rPr>
        <w:t xml:space="preserve"> 40</w:t>
      </w:r>
      <w:r w:rsidRPr="0001200D">
        <w:t xml:space="preserve">, 161-170. </w:t>
      </w:r>
    </w:p>
    <w:p w14:paraId="5AA1727A" w14:textId="77777777" w:rsidR="003E5B95" w:rsidRPr="0001200D" w:rsidRDefault="003E5B95" w:rsidP="003E5B95">
      <w:pPr>
        <w:pStyle w:val="EndNoteBibliography"/>
        <w:spacing w:after="240"/>
        <w:ind w:left="720" w:hanging="720"/>
      </w:pPr>
      <w:r w:rsidRPr="0001200D">
        <w:t xml:space="preserve">Galluch, P. S., Grover, V., &amp; Thatcher, J. B. (2015). Interrupting the workplace: Examining stressors in an information technology context. </w:t>
      </w:r>
      <w:r w:rsidRPr="0001200D">
        <w:rPr>
          <w:i/>
        </w:rPr>
        <w:t>Journal of the Association for Information Systems</w:t>
      </w:r>
      <w:r w:rsidRPr="0001200D">
        <w:t>,</w:t>
      </w:r>
      <w:r w:rsidRPr="0001200D">
        <w:rPr>
          <w:i/>
        </w:rPr>
        <w:t xml:space="preserve"> 16</w:t>
      </w:r>
      <w:r w:rsidRPr="0001200D">
        <w:t xml:space="preserve">(1), 1-47. </w:t>
      </w:r>
    </w:p>
    <w:p w14:paraId="7EB1A5A2" w14:textId="5A721AEE" w:rsidR="003E5B95" w:rsidRPr="0001200D" w:rsidRDefault="003E5B95" w:rsidP="003E5B95">
      <w:pPr>
        <w:pStyle w:val="EndNoteBibliography"/>
        <w:spacing w:after="240"/>
        <w:ind w:left="720" w:hanging="720"/>
      </w:pPr>
      <w:r w:rsidRPr="0001200D">
        <w:t xml:space="preserve">Gaudioso, F., Turel, O., &amp; Galimberti, C. (2017). The mediating roles of strain facets and coping strategies in translating techno-stressors into adverse job outcomes. </w:t>
      </w:r>
      <w:r w:rsidRPr="0001200D">
        <w:rPr>
          <w:i/>
        </w:rPr>
        <w:t>Computers in Human Behavior</w:t>
      </w:r>
      <w:r w:rsidRPr="0001200D">
        <w:t>,</w:t>
      </w:r>
      <w:r w:rsidRPr="0001200D">
        <w:rPr>
          <w:i/>
        </w:rPr>
        <w:t xml:space="preserve"> 69</w:t>
      </w:r>
      <w:r w:rsidRPr="0001200D">
        <w:t xml:space="preserve">, 189-196. </w:t>
      </w:r>
      <w:r w:rsidRPr="003E5B95">
        <w:t>https://doi.org/10.1016/j.chb.2016.12.041</w:t>
      </w:r>
      <w:r w:rsidRPr="0001200D">
        <w:t xml:space="preserve"> </w:t>
      </w:r>
    </w:p>
    <w:p w14:paraId="002C269A" w14:textId="181B21E0" w:rsidR="003E5B95" w:rsidRPr="0001200D" w:rsidRDefault="003E5B95" w:rsidP="003E5B95">
      <w:pPr>
        <w:pStyle w:val="EndNoteBibliography"/>
        <w:spacing w:after="240"/>
        <w:ind w:left="720" w:hanging="720"/>
      </w:pPr>
      <w:r w:rsidRPr="0001200D">
        <w:t xml:space="preserve">George, J. F. (1996). Computer-Based Monitoring: Common Perceptions and Empirical Results. </w:t>
      </w:r>
      <w:r w:rsidRPr="0001200D">
        <w:rPr>
          <w:i/>
        </w:rPr>
        <w:t>MIS Quarterly</w:t>
      </w:r>
      <w:r w:rsidRPr="0001200D">
        <w:t>,</w:t>
      </w:r>
      <w:r w:rsidRPr="0001200D">
        <w:rPr>
          <w:i/>
        </w:rPr>
        <w:t xml:space="preserve"> 20</w:t>
      </w:r>
      <w:r w:rsidRPr="0001200D">
        <w:t xml:space="preserve">(4), 459-480. </w:t>
      </w:r>
      <w:r w:rsidRPr="003E5B95">
        <w:t>https://doi.org/10.2307/249564</w:t>
      </w:r>
      <w:r w:rsidRPr="0001200D">
        <w:t xml:space="preserve"> </w:t>
      </w:r>
    </w:p>
    <w:p w14:paraId="38D1810B" w14:textId="77777777" w:rsidR="003E5B95" w:rsidRPr="0001200D" w:rsidRDefault="003E5B95" w:rsidP="003E5B95">
      <w:pPr>
        <w:pStyle w:val="EndNoteBibliography"/>
        <w:spacing w:after="240"/>
        <w:ind w:left="720" w:hanging="720"/>
      </w:pPr>
      <w:r w:rsidRPr="0001200D">
        <w:t xml:space="preserve">Hargrove, M. B., Becker, W. S., &amp; Hargrove, D. F. (2015). The HRD eustress model: Generating positive stress with challenging work. </w:t>
      </w:r>
      <w:r w:rsidRPr="0001200D">
        <w:rPr>
          <w:i/>
        </w:rPr>
        <w:t>Human resource development review</w:t>
      </w:r>
      <w:r w:rsidRPr="0001200D">
        <w:t>,</w:t>
      </w:r>
      <w:r w:rsidRPr="0001200D">
        <w:rPr>
          <w:i/>
        </w:rPr>
        <w:t xml:space="preserve"> 14</w:t>
      </w:r>
      <w:r w:rsidRPr="0001200D">
        <w:t xml:space="preserve">(3), 279-298. </w:t>
      </w:r>
    </w:p>
    <w:p w14:paraId="58504515" w14:textId="77777777" w:rsidR="003E5B95" w:rsidRPr="0001200D" w:rsidRDefault="003E5B95" w:rsidP="003E5B95">
      <w:pPr>
        <w:pStyle w:val="EndNoteBibliography"/>
        <w:spacing w:after="240"/>
        <w:ind w:left="720" w:hanging="720"/>
      </w:pPr>
      <w:r w:rsidRPr="0001200D">
        <w:t xml:space="preserve">Hargrove, M. B., Nelson, D. L., &amp; Cooper, C. L. (2013). Generating eustress by challenging employees: Helping people savor their work. </w:t>
      </w:r>
      <w:r w:rsidRPr="0001200D">
        <w:rPr>
          <w:i/>
        </w:rPr>
        <w:t>Organizational Dynamics</w:t>
      </w:r>
      <w:r w:rsidRPr="0001200D">
        <w:t>,</w:t>
      </w:r>
      <w:r w:rsidRPr="0001200D">
        <w:rPr>
          <w:i/>
        </w:rPr>
        <w:t xml:space="preserve"> 42</w:t>
      </w:r>
      <w:r w:rsidRPr="0001200D">
        <w:t xml:space="preserve">(1), 61-69. </w:t>
      </w:r>
      <w:r w:rsidRPr="003E5B95">
        <w:t>https://doi.org/10.1016/j.orgdyn.2012.12.008</w:t>
      </w:r>
      <w:r w:rsidRPr="0001200D">
        <w:t xml:space="preserve"> </w:t>
      </w:r>
    </w:p>
    <w:p w14:paraId="1A7726CD" w14:textId="77777777" w:rsidR="003E5B95" w:rsidRPr="0001200D" w:rsidRDefault="003E5B95" w:rsidP="003E5B95">
      <w:pPr>
        <w:pStyle w:val="EndNoteBibliography"/>
        <w:spacing w:after="240"/>
        <w:ind w:left="720" w:hanging="720"/>
      </w:pPr>
      <w:r w:rsidRPr="0001200D">
        <w:t xml:space="preserve">Harms, P. D., Krasikova, D. V., Vanhove, A. J., Herian, M. N., &amp; Lester, P. B. (2013). Stress and Emotional Well-being in Military Organizations. In </w:t>
      </w:r>
      <w:r w:rsidRPr="0001200D">
        <w:rPr>
          <w:i/>
        </w:rPr>
        <w:t>The Role of Emotion and Emotion Regulation in Job Stress and Well Being</w:t>
      </w:r>
      <w:r w:rsidRPr="0001200D">
        <w:t xml:space="preserve"> (Vol. 11, pp. 103-132). Emerald Group Publishing Limited. </w:t>
      </w:r>
      <w:r w:rsidRPr="003E5B95">
        <w:t>https://doi.org/10.1108/S1479-3555(2013)0000011008</w:t>
      </w:r>
      <w:r w:rsidRPr="0001200D">
        <w:t xml:space="preserve"> </w:t>
      </w:r>
    </w:p>
    <w:p w14:paraId="681836B9" w14:textId="02037E4E" w:rsidR="003E5B95" w:rsidRPr="0001200D" w:rsidRDefault="003E5B95" w:rsidP="003E5B95">
      <w:pPr>
        <w:pStyle w:val="EndNoteBibliography"/>
        <w:spacing w:after="240"/>
        <w:ind w:left="720" w:hanging="720"/>
      </w:pPr>
      <w:r w:rsidRPr="0001200D">
        <w:t xml:space="preserve">Helkala, K., Knox, B., Jøsok, Ø., Knox, S., &amp; Lund, M. (2016). Factors to affect improvement in cyber officer performance. </w:t>
      </w:r>
      <w:r w:rsidRPr="0001200D">
        <w:rPr>
          <w:i/>
        </w:rPr>
        <w:t>Information and Computer Security</w:t>
      </w:r>
      <w:r w:rsidRPr="0001200D">
        <w:t>,</w:t>
      </w:r>
      <w:r w:rsidRPr="0001200D">
        <w:rPr>
          <w:i/>
        </w:rPr>
        <w:t xml:space="preserve"> 24</w:t>
      </w:r>
      <w:r w:rsidRPr="0001200D">
        <w:t>(2), 152</w:t>
      </w:r>
      <w:r w:rsidR="00EF7945">
        <w:t>-163</w:t>
      </w:r>
    </w:p>
    <w:p w14:paraId="03F85684" w14:textId="0AE5B65E" w:rsidR="003E5B95" w:rsidRPr="0001200D" w:rsidRDefault="003E5B95" w:rsidP="003E5B95">
      <w:pPr>
        <w:pStyle w:val="EndNoteBibliography"/>
        <w:spacing w:after="240"/>
        <w:ind w:left="720" w:hanging="720"/>
      </w:pPr>
      <w:r w:rsidRPr="0001200D">
        <w:t>Hennington, A., Janz, B., &amp; Poston, R. (2011). I’m just burned out: Understanding information system compatibility with personal values and role-based stress in a nursing context</w:t>
      </w:r>
      <w:r>
        <w:t xml:space="preserve">. </w:t>
      </w:r>
      <w:r w:rsidRPr="0001200D">
        <w:rPr>
          <w:i/>
        </w:rPr>
        <w:t>Computers in Human Behavior</w:t>
      </w:r>
      <w:r w:rsidRPr="0001200D">
        <w:t>,</w:t>
      </w:r>
      <w:r w:rsidRPr="0001200D">
        <w:rPr>
          <w:i/>
        </w:rPr>
        <w:t xml:space="preserve"> 27</w:t>
      </w:r>
      <w:r w:rsidRPr="0001200D">
        <w:t xml:space="preserve">(3), 1238-1248. </w:t>
      </w:r>
      <w:r w:rsidRPr="003E5B95">
        <w:t>https://doi.org/10.1016/j.chb.2011.01.004</w:t>
      </w:r>
      <w:r w:rsidRPr="0001200D">
        <w:t xml:space="preserve"> </w:t>
      </w:r>
    </w:p>
    <w:p w14:paraId="418C34AC" w14:textId="22F9C13D" w:rsidR="003E5B95" w:rsidRPr="003E5B95" w:rsidRDefault="003E5B95" w:rsidP="003E5B95">
      <w:pPr>
        <w:pStyle w:val="EndNoteBibliography"/>
        <w:spacing w:after="240"/>
        <w:ind w:left="720" w:hanging="720"/>
      </w:pPr>
      <w:r w:rsidRPr="0001200D">
        <w:lastRenderedPageBreak/>
        <w:t xml:space="preserve">Hwang, I., &amp; Cha, O. (2018). Examining technostress creators and role stress as potential threats to employees' information security compliance. </w:t>
      </w:r>
      <w:r w:rsidRPr="0001200D">
        <w:rPr>
          <w:i/>
        </w:rPr>
        <w:t>Computers in Human Behavior</w:t>
      </w:r>
      <w:r w:rsidRPr="0001200D">
        <w:t>,</w:t>
      </w:r>
      <w:r w:rsidRPr="0001200D">
        <w:rPr>
          <w:i/>
        </w:rPr>
        <w:t xml:space="preserve"> 81</w:t>
      </w:r>
      <w:r w:rsidRPr="0001200D">
        <w:t xml:space="preserve">, 282-293. </w:t>
      </w:r>
    </w:p>
    <w:p w14:paraId="6563BCA0" w14:textId="0C162F81" w:rsidR="003E5B95" w:rsidRPr="0001200D" w:rsidRDefault="003E5B95" w:rsidP="003E5B95">
      <w:pPr>
        <w:pStyle w:val="EndNoteBibliography"/>
        <w:spacing w:after="240"/>
        <w:ind w:left="720" w:hanging="720"/>
      </w:pPr>
      <w:r w:rsidRPr="0001200D">
        <w:t xml:space="preserve">Igbaria, M., &amp; Guimaraes, T. (1993). Antecedents and Consequences of Job Satisfaction among Information Center Employees. </w:t>
      </w:r>
      <w:r w:rsidRPr="0001200D">
        <w:rPr>
          <w:i/>
        </w:rPr>
        <w:t>Journal of Management Information Systems</w:t>
      </w:r>
      <w:r w:rsidRPr="0001200D">
        <w:t>,</w:t>
      </w:r>
      <w:r w:rsidRPr="0001200D">
        <w:rPr>
          <w:i/>
        </w:rPr>
        <w:t xml:space="preserve"> 9</w:t>
      </w:r>
      <w:r w:rsidRPr="0001200D">
        <w:t xml:space="preserve">(4), 145-174. </w:t>
      </w:r>
      <w:r w:rsidRPr="003E5B95">
        <w:t>https://doi.org/10.1080/07421222.1993.11517983</w:t>
      </w:r>
      <w:r w:rsidRPr="0001200D">
        <w:t xml:space="preserve"> </w:t>
      </w:r>
    </w:p>
    <w:p w14:paraId="3E483638" w14:textId="2B210B19" w:rsidR="003E5B95" w:rsidRPr="0001200D" w:rsidRDefault="003E5B95" w:rsidP="003E5B95">
      <w:pPr>
        <w:pStyle w:val="EndNoteBibliography"/>
        <w:spacing w:after="240"/>
        <w:ind w:left="720" w:hanging="720"/>
      </w:pPr>
      <w:r w:rsidRPr="0001200D">
        <w:t xml:space="preserve">Igbaria, M., Parasuraman, S., &amp; Badawy, M. K. (1994). Work experiences, job involvement, and quality of work life among information systems personnel. </w:t>
      </w:r>
      <w:r w:rsidRPr="0001200D">
        <w:rPr>
          <w:i/>
        </w:rPr>
        <w:t>MIS Quarterly</w:t>
      </w:r>
      <w:r w:rsidRPr="0001200D">
        <w:t xml:space="preserve">, </w:t>
      </w:r>
      <w:r w:rsidR="000D1F41" w:rsidRPr="000D1F41">
        <w:rPr>
          <w:i/>
          <w:iCs/>
        </w:rPr>
        <w:t>18</w:t>
      </w:r>
      <w:r w:rsidR="000D1F41">
        <w:t xml:space="preserve">(2), </w:t>
      </w:r>
      <w:r w:rsidRPr="0001200D">
        <w:t xml:space="preserve">175-201. </w:t>
      </w:r>
    </w:p>
    <w:p w14:paraId="7354D1FD" w14:textId="3C33259A" w:rsidR="003E5B95" w:rsidRDefault="003E5B95" w:rsidP="003E5B95">
      <w:pPr>
        <w:pStyle w:val="EndNoteBibliography"/>
        <w:spacing w:after="240"/>
        <w:ind w:left="720" w:hanging="720"/>
      </w:pPr>
      <w:r w:rsidRPr="0001200D">
        <w:t xml:space="preserve">Ishii, K., &amp; Markman, K. M. (2016). Online customer service and emotional labor: An exploratory study. </w:t>
      </w:r>
      <w:r w:rsidRPr="0001200D">
        <w:rPr>
          <w:i/>
        </w:rPr>
        <w:t>Computers in Human Behavior</w:t>
      </w:r>
      <w:r w:rsidRPr="0001200D">
        <w:t>,</w:t>
      </w:r>
      <w:r w:rsidRPr="0001200D">
        <w:rPr>
          <w:i/>
        </w:rPr>
        <w:t xml:space="preserve"> 62</w:t>
      </w:r>
      <w:r w:rsidRPr="0001200D">
        <w:t xml:space="preserve">, 658-665. </w:t>
      </w:r>
      <w:r w:rsidRPr="003E5B95">
        <w:t>https://doi.org/10.1016/j.chb.2016.04.037</w:t>
      </w:r>
      <w:r w:rsidRPr="0001200D">
        <w:t xml:space="preserve"> </w:t>
      </w:r>
    </w:p>
    <w:p w14:paraId="11364709" w14:textId="15453E5A" w:rsidR="00EF7945" w:rsidRPr="0001200D" w:rsidRDefault="00EF7945" w:rsidP="00EF7945">
      <w:pPr>
        <w:pStyle w:val="EndNoteBibliography"/>
        <w:ind w:left="720" w:hanging="720"/>
      </w:pPr>
      <w:r w:rsidRPr="0001200D">
        <w:t>(ISC)²</w:t>
      </w:r>
      <w:r>
        <w:t xml:space="preserve"> </w:t>
      </w:r>
      <w:r w:rsidRPr="0001200D">
        <w:t xml:space="preserve">(2018). </w:t>
      </w:r>
      <w:r w:rsidRPr="0001200D">
        <w:rPr>
          <w:i/>
        </w:rPr>
        <w:t xml:space="preserve">Cybersecurity Professionals Focus on Developing New Skills as Workforce Gap Widens </w:t>
      </w:r>
      <w:r w:rsidRPr="0001200D">
        <w:t xml:space="preserve">Retrieved Oct 25, 2019 from </w:t>
      </w:r>
      <w:r w:rsidRPr="003E5B95">
        <w:t>https://www.isc2.org/-/media/7CC1598DE430469195F81017658B15D0.ashx</w:t>
      </w:r>
    </w:p>
    <w:p w14:paraId="1808DA56" w14:textId="5268E375" w:rsidR="003E5B95" w:rsidRPr="0001200D" w:rsidRDefault="003E5B95" w:rsidP="003E5B95">
      <w:pPr>
        <w:pStyle w:val="EndNoteBibliography"/>
        <w:spacing w:after="240"/>
        <w:ind w:left="720" w:hanging="720"/>
      </w:pPr>
      <w:r w:rsidRPr="0001200D">
        <w:t xml:space="preserve">Jena, R. K. (2015). Technostress in ICT enabled collaborative learning environment: An empirical study among Indian academician. </w:t>
      </w:r>
      <w:r w:rsidRPr="0001200D">
        <w:rPr>
          <w:i/>
        </w:rPr>
        <w:t>Computers in Human Behavior</w:t>
      </w:r>
      <w:r w:rsidRPr="0001200D">
        <w:t>,</w:t>
      </w:r>
      <w:r w:rsidRPr="0001200D">
        <w:rPr>
          <w:i/>
        </w:rPr>
        <w:t xml:space="preserve"> 51</w:t>
      </w:r>
      <w:r w:rsidRPr="0001200D">
        <w:t xml:space="preserve">(Part B), 1116-1123. </w:t>
      </w:r>
      <w:r w:rsidRPr="003E5B95">
        <w:t>https://doi.org/10.1016/j.chb.2015.03.020</w:t>
      </w:r>
      <w:r w:rsidRPr="0001200D">
        <w:t xml:space="preserve"> </w:t>
      </w:r>
    </w:p>
    <w:p w14:paraId="26ACDFCC" w14:textId="77777777" w:rsidR="003E5B95" w:rsidRPr="0001200D" w:rsidRDefault="003E5B95" w:rsidP="003E5B95">
      <w:pPr>
        <w:pStyle w:val="EndNoteBibliography"/>
        <w:spacing w:after="240"/>
        <w:ind w:left="720" w:hanging="720"/>
      </w:pPr>
      <w:r w:rsidRPr="0001200D">
        <w:t xml:space="preserve">Jensen, M. L., Dinger, M., Wright, R. T., &amp; Thatcher, J. B. (2017). Training to Mitigate Phishing Attacks Using Mindfulness Techniques. </w:t>
      </w:r>
      <w:r w:rsidRPr="0001200D">
        <w:rPr>
          <w:i/>
        </w:rPr>
        <w:t>Journal of Management Information Systems</w:t>
      </w:r>
      <w:r w:rsidRPr="0001200D">
        <w:t>,</w:t>
      </w:r>
      <w:r w:rsidRPr="0001200D">
        <w:rPr>
          <w:i/>
        </w:rPr>
        <w:t xml:space="preserve"> 34</w:t>
      </w:r>
      <w:r w:rsidRPr="0001200D">
        <w:t xml:space="preserve">(2), 597-626. </w:t>
      </w:r>
      <w:r w:rsidRPr="003E5B95">
        <w:t>https://doi.org/10.1080/07421222.2017.1334499</w:t>
      </w:r>
      <w:r w:rsidRPr="0001200D">
        <w:t xml:space="preserve"> </w:t>
      </w:r>
    </w:p>
    <w:p w14:paraId="511264AF" w14:textId="0CE8D783" w:rsidR="003E5B95" w:rsidRPr="0001200D" w:rsidRDefault="003E5B95" w:rsidP="003E5B95">
      <w:pPr>
        <w:pStyle w:val="EndNoteBibliography"/>
        <w:spacing w:after="240"/>
        <w:ind w:left="720" w:hanging="720"/>
      </w:pPr>
      <w:r w:rsidRPr="0001200D">
        <w:t xml:space="preserve">Jex, S. M. (1998). </w:t>
      </w:r>
      <w:r w:rsidRPr="0001200D">
        <w:rPr>
          <w:i/>
        </w:rPr>
        <w:t>Stress and job performance: Theory, research, and implications for managerial practice</w:t>
      </w:r>
      <w:r w:rsidRPr="0001200D">
        <w:t xml:space="preserve">. </w:t>
      </w:r>
      <w:r w:rsidR="00E76BE7" w:rsidRPr="00015017">
        <w:rPr>
          <w:szCs w:val="24"/>
        </w:rPr>
        <w:t>Thousand Oaks, California: Sage.</w:t>
      </w:r>
    </w:p>
    <w:p w14:paraId="49AD63AB" w14:textId="77777777" w:rsidR="003E5B95" w:rsidRPr="0001200D" w:rsidRDefault="003E5B95" w:rsidP="003E5B95">
      <w:pPr>
        <w:pStyle w:val="EndNoteBibliography"/>
        <w:spacing w:after="240"/>
        <w:ind w:left="720" w:hanging="720"/>
      </w:pPr>
      <w:r w:rsidRPr="0001200D">
        <w:t>Johnston, A. C., Di Gangi, P. M., Howard, J., &amp; Worrell, J. (2019). It Takes a Village: Understanding the Collective Security Efficacy of Employee Groups.</w:t>
      </w:r>
      <w:r w:rsidRPr="0001200D">
        <w:rPr>
          <w:i/>
        </w:rPr>
        <w:t xml:space="preserve"> Journal of the Association for Information Systems</w:t>
      </w:r>
      <w:r w:rsidRPr="0001200D">
        <w:t>,</w:t>
      </w:r>
      <w:r w:rsidRPr="0001200D">
        <w:rPr>
          <w:i/>
        </w:rPr>
        <w:t xml:space="preserve"> 20</w:t>
      </w:r>
      <w:r w:rsidRPr="0001200D">
        <w:t xml:space="preserve">(3), 186-212. </w:t>
      </w:r>
    </w:p>
    <w:p w14:paraId="1BD565A6" w14:textId="77777777" w:rsidR="003E5B95" w:rsidRPr="0001200D" w:rsidRDefault="003E5B95" w:rsidP="003E5B95">
      <w:pPr>
        <w:pStyle w:val="EndNoteBibliography"/>
        <w:spacing w:after="240"/>
        <w:ind w:left="720" w:hanging="720"/>
      </w:pPr>
      <w:r w:rsidRPr="0001200D">
        <w:t xml:space="preserve">Joseph, D., Ng, K.-Y., Koh, C., &amp; Ang, S. (2007). Turnover of information technology professionals: a narrative review, meta-analytic structural equation modeling, and model development. </w:t>
      </w:r>
      <w:r w:rsidRPr="0001200D">
        <w:rPr>
          <w:i/>
        </w:rPr>
        <w:t>MIS Quarterly</w:t>
      </w:r>
      <w:r w:rsidRPr="0001200D">
        <w:t>,</w:t>
      </w:r>
      <w:r w:rsidRPr="0001200D">
        <w:rPr>
          <w:i/>
        </w:rPr>
        <w:t xml:space="preserve"> 31</w:t>
      </w:r>
      <w:r w:rsidRPr="0001200D">
        <w:t xml:space="preserve">(3), 547-577. </w:t>
      </w:r>
    </w:p>
    <w:p w14:paraId="64A95291" w14:textId="77777777" w:rsidR="003E5B95" w:rsidRPr="0001200D" w:rsidRDefault="003E5B95" w:rsidP="003E5B95">
      <w:pPr>
        <w:pStyle w:val="EndNoteBibliography"/>
        <w:spacing w:after="240"/>
        <w:ind w:left="720" w:hanging="720"/>
      </w:pPr>
      <w:r w:rsidRPr="0001200D">
        <w:t xml:space="preserve">Kahn, R. L., &amp; Byosiere, P. (1992). </w:t>
      </w:r>
      <w:r w:rsidRPr="0001200D">
        <w:rPr>
          <w:i/>
        </w:rPr>
        <w:t>Stress in organizations, Handbook of Industrial and Organizational Psychology</w:t>
      </w:r>
      <w:r w:rsidRPr="0001200D">
        <w:t xml:space="preserve">. Consulting Psychologists Press,. </w:t>
      </w:r>
    </w:p>
    <w:p w14:paraId="4ED16688" w14:textId="77777777" w:rsidR="003E5B95" w:rsidRPr="0001200D" w:rsidRDefault="003E5B95" w:rsidP="003E5B95">
      <w:pPr>
        <w:pStyle w:val="EndNoteBibliography"/>
        <w:spacing w:after="240"/>
        <w:ind w:left="720" w:hanging="720"/>
      </w:pPr>
      <w:r w:rsidRPr="0001200D">
        <w:t xml:space="preserve">Karasek, R. A. (1979). Job demands, job decision latitude, and mental strain: Implications for job redesign. </w:t>
      </w:r>
      <w:r w:rsidRPr="0001200D">
        <w:rPr>
          <w:i/>
        </w:rPr>
        <w:t>Administrative Science Quarterly</w:t>
      </w:r>
      <w:r w:rsidRPr="0001200D">
        <w:t>,</w:t>
      </w:r>
      <w:r w:rsidRPr="0001200D">
        <w:rPr>
          <w:i/>
        </w:rPr>
        <w:t xml:space="preserve"> 24</w:t>
      </w:r>
      <w:r w:rsidRPr="0001200D">
        <w:t xml:space="preserve">(2), 285-308. </w:t>
      </w:r>
    </w:p>
    <w:p w14:paraId="525751C9" w14:textId="046097D8" w:rsidR="003E5B95" w:rsidRPr="0001200D" w:rsidRDefault="003E5B95" w:rsidP="003E5B95">
      <w:pPr>
        <w:pStyle w:val="EndNoteBibliography"/>
        <w:spacing w:after="240"/>
        <w:ind w:left="720" w:hanging="720"/>
      </w:pPr>
      <w:r w:rsidRPr="0001200D">
        <w:t xml:space="preserve">Krishnan, S. (2017). Personality and espoused cultural differences in technostress creators. </w:t>
      </w:r>
      <w:r w:rsidRPr="0001200D">
        <w:rPr>
          <w:i/>
        </w:rPr>
        <w:t>Computers in Human Behavior</w:t>
      </w:r>
      <w:r w:rsidRPr="0001200D">
        <w:t>,</w:t>
      </w:r>
      <w:r w:rsidRPr="0001200D">
        <w:rPr>
          <w:i/>
        </w:rPr>
        <w:t xml:space="preserve"> 66</w:t>
      </w:r>
      <w:r w:rsidRPr="0001200D">
        <w:t xml:space="preserve">, 154-167. </w:t>
      </w:r>
      <w:r w:rsidRPr="003E5B95">
        <w:t>https://doi.org/10.1016/j.chb.2016.09.039</w:t>
      </w:r>
      <w:r w:rsidRPr="0001200D">
        <w:t xml:space="preserve"> </w:t>
      </w:r>
    </w:p>
    <w:p w14:paraId="7AE978D0" w14:textId="47714507" w:rsidR="003E5B95" w:rsidRPr="0001200D" w:rsidRDefault="003E5B95" w:rsidP="003E5B95">
      <w:pPr>
        <w:pStyle w:val="EndNoteBibliography"/>
        <w:spacing w:after="240"/>
        <w:ind w:left="720" w:hanging="720"/>
      </w:pPr>
      <w:r w:rsidRPr="0001200D">
        <w:lastRenderedPageBreak/>
        <w:t xml:space="preserve">Lazarus, R. S., &amp; Cohen-Charash, Y. (2001). Discrete emotions in organizational life. In P. C. Cooper (Ed.), </w:t>
      </w:r>
      <w:r w:rsidRPr="0001200D">
        <w:rPr>
          <w:i/>
        </w:rPr>
        <w:t>Emotions at work: Theory, research applications for management</w:t>
      </w:r>
      <w:r w:rsidRPr="0001200D">
        <w:t xml:space="preserve"> (Vol. 4584, pp. 45-81).</w:t>
      </w:r>
      <w:r w:rsidR="00CD264E" w:rsidRPr="0055776E">
        <w:rPr>
          <w:szCs w:val="24"/>
        </w:rPr>
        <w:t>Chichester: John-Wiley</w:t>
      </w:r>
    </w:p>
    <w:p w14:paraId="69CCB9DF" w14:textId="34220C6F" w:rsidR="003E5B95" w:rsidRPr="0001200D" w:rsidRDefault="003E5B95" w:rsidP="003E5B95">
      <w:pPr>
        <w:pStyle w:val="EndNoteBibliography"/>
        <w:spacing w:after="240"/>
        <w:ind w:left="720" w:hanging="720"/>
      </w:pPr>
      <w:r w:rsidRPr="0001200D">
        <w:t xml:space="preserve">Lazarus, R. S., &amp; Folkman, S. (1984). </w:t>
      </w:r>
      <w:r w:rsidRPr="0001200D">
        <w:rPr>
          <w:i/>
        </w:rPr>
        <w:t>Stress, appraisal, and coping</w:t>
      </w:r>
      <w:r w:rsidRPr="0001200D">
        <w:t xml:space="preserve">. </w:t>
      </w:r>
      <w:r w:rsidR="00CD264E">
        <w:t xml:space="preserve"> New York: </w:t>
      </w:r>
      <w:r w:rsidRPr="0001200D">
        <w:t xml:space="preserve">Springer publishing company. </w:t>
      </w:r>
    </w:p>
    <w:p w14:paraId="6E039905" w14:textId="77777777" w:rsidR="003E5B95" w:rsidRPr="0001200D" w:rsidRDefault="003E5B95" w:rsidP="003E5B95">
      <w:pPr>
        <w:pStyle w:val="EndNoteBibliography"/>
        <w:spacing w:after="240"/>
        <w:ind w:left="720" w:hanging="720"/>
      </w:pPr>
      <w:r w:rsidRPr="0001200D">
        <w:t xml:space="preserve">Lazarus, R. S., &amp; Folkman, S. (1987). Transactional theory and research on emotions and coping. </w:t>
      </w:r>
      <w:r w:rsidRPr="0001200D">
        <w:rPr>
          <w:i/>
        </w:rPr>
        <w:t>European Journal of Personality</w:t>
      </w:r>
      <w:r w:rsidRPr="0001200D">
        <w:t>,</w:t>
      </w:r>
      <w:r w:rsidRPr="0001200D">
        <w:rPr>
          <w:i/>
        </w:rPr>
        <w:t xml:space="preserve"> 1</w:t>
      </w:r>
      <w:r w:rsidRPr="0001200D">
        <w:t xml:space="preserve">(3), 141-169. </w:t>
      </w:r>
    </w:p>
    <w:p w14:paraId="1B123C12" w14:textId="77777777" w:rsidR="003E5B95" w:rsidRPr="0001200D" w:rsidRDefault="003E5B95" w:rsidP="003E5B95">
      <w:pPr>
        <w:pStyle w:val="EndNoteBibliography"/>
        <w:spacing w:after="240"/>
        <w:ind w:left="720" w:hanging="720"/>
      </w:pPr>
      <w:r w:rsidRPr="0001200D">
        <w:t xml:space="preserve">Le Fevre, M., Matheny, J., &amp; Kolt, G. S. (2003). Eustress, distress, and interpretation in occupational stress. </w:t>
      </w:r>
      <w:r w:rsidRPr="0001200D">
        <w:rPr>
          <w:i/>
        </w:rPr>
        <w:t>Journal of Managerial Psychology</w:t>
      </w:r>
      <w:r w:rsidRPr="0001200D">
        <w:t>,</w:t>
      </w:r>
      <w:r w:rsidRPr="0001200D">
        <w:rPr>
          <w:i/>
        </w:rPr>
        <w:t xml:space="preserve"> 18</w:t>
      </w:r>
      <w:r w:rsidRPr="0001200D">
        <w:t xml:space="preserve">(7), 726-744. </w:t>
      </w:r>
    </w:p>
    <w:p w14:paraId="25973DB5" w14:textId="6E4FDFD2" w:rsidR="003E5B95" w:rsidRPr="0001200D" w:rsidRDefault="003E5B95" w:rsidP="003E5B95">
      <w:pPr>
        <w:pStyle w:val="EndNoteBibliography"/>
        <w:spacing w:after="240"/>
        <w:ind w:left="720" w:hanging="720"/>
      </w:pPr>
      <w:r w:rsidRPr="0001200D">
        <w:t xml:space="preserve">Lee, C., Lee, C. C., &amp; Kim, S. (2016). Understanding information security stress: Focusing on the type of information security compliance activity. </w:t>
      </w:r>
      <w:r w:rsidRPr="0001200D">
        <w:rPr>
          <w:i/>
        </w:rPr>
        <w:t>C</w:t>
      </w:r>
      <w:r w:rsidR="00EF7945">
        <w:rPr>
          <w:i/>
        </w:rPr>
        <w:t>o</w:t>
      </w:r>
      <w:r w:rsidRPr="0001200D">
        <w:rPr>
          <w:i/>
        </w:rPr>
        <w:t>mputers Security</w:t>
      </w:r>
      <w:r w:rsidRPr="0001200D">
        <w:t>,</w:t>
      </w:r>
      <w:r w:rsidRPr="0001200D">
        <w:rPr>
          <w:i/>
        </w:rPr>
        <w:t xml:space="preserve"> 59</w:t>
      </w:r>
      <w:r w:rsidRPr="0001200D">
        <w:t xml:space="preserve">, 60-70. </w:t>
      </w:r>
    </w:p>
    <w:p w14:paraId="362700F3" w14:textId="77777777" w:rsidR="003E5B95" w:rsidRPr="0001200D" w:rsidRDefault="003E5B95" w:rsidP="003E5B95">
      <w:pPr>
        <w:pStyle w:val="EndNoteBibliography"/>
        <w:spacing w:after="240"/>
        <w:ind w:left="720" w:hanging="720"/>
      </w:pPr>
      <w:r w:rsidRPr="0001200D">
        <w:t xml:space="preserve">Leidner, D. E. (2018). Review and theory symbiosis: An introspective retrospective. </w:t>
      </w:r>
      <w:r w:rsidRPr="0001200D">
        <w:rPr>
          <w:i/>
        </w:rPr>
        <w:t>Journal of the Association for Information Systems</w:t>
      </w:r>
      <w:r w:rsidRPr="0001200D">
        <w:t>,</w:t>
      </w:r>
      <w:r w:rsidRPr="0001200D">
        <w:rPr>
          <w:i/>
        </w:rPr>
        <w:t xml:space="preserve"> 19</w:t>
      </w:r>
      <w:r w:rsidRPr="0001200D">
        <w:t xml:space="preserve">(6), 552-567. </w:t>
      </w:r>
    </w:p>
    <w:p w14:paraId="115C4CF6" w14:textId="77777777" w:rsidR="003E5B95" w:rsidRPr="0001200D" w:rsidRDefault="003E5B95" w:rsidP="003E5B95">
      <w:pPr>
        <w:pStyle w:val="EndNoteBibliography"/>
        <w:spacing w:after="240"/>
        <w:ind w:left="720" w:hanging="720"/>
      </w:pPr>
      <w:r w:rsidRPr="0001200D">
        <w:t xml:space="preserve">LePine, J. A., LePine, M. A., &amp; Jackson, C. L. (2004). Challenge and hindrance stress: relationships with exhaustion, motivation to learn, and learning performance. </w:t>
      </w:r>
      <w:r w:rsidRPr="0001200D">
        <w:rPr>
          <w:i/>
        </w:rPr>
        <w:t>Journal of Applied Psychology</w:t>
      </w:r>
      <w:r w:rsidRPr="0001200D">
        <w:t>,</w:t>
      </w:r>
      <w:r w:rsidRPr="0001200D">
        <w:rPr>
          <w:i/>
        </w:rPr>
        <w:t xml:space="preserve"> 89</w:t>
      </w:r>
      <w:r w:rsidRPr="0001200D">
        <w:t xml:space="preserve">(5), 883-891. </w:t>
      </w:r>
    </w:p>
    <w:p w14:paraId="1D013550" w14:textId="77777777" w:rsidR="003E5B95" w:rsidRPr="0001200D" w:rsidRDefault="003E5B95" w:rsidP="003E5B95">
      <w:pPr>
        <w:pStyle w:val="EndNoteBibliography"/>
        <w:spacing w:after="240"/>
        <w:ind w:left="720" w:hanging="720"/>
      </w:pPr>
      <w:r w:rsidRPr="0001200D">
        <w:t xml:space="preserve">LePine, J. A., Podsakoff, N. P., &amp; LePine, M. A. (2005). A meta-analytic test of the challenge stressor–hindrance stressor framework: An explanation for inconsistent relationships among stressors and performance. </w:t>
      </w:r>
      <w:r w:rsidRPr="0001200D">
        <w:rPr>
          <w:i/>
        </w:rPr>
        <w:t>Academy of Management Journal</w:t>
      </w:r>
      <w:r w:rsidRPr="0001200D">
        <w:t>,</w:t>
      </w:r>
      <w:r w:rsidRPr="0001200D">
        <w:rPr>
          <w:i/>
        </w:rPr>
        <w:t xml:space="preserve"> 48</w:t>
      </w:r>
      <w:r w:rsidRPr="0001200D">
        <w:t xml:space="preserve">(5), 764-775. </w:t>
      </w:r>
    </w:p>
    <w:p w14:paraId="5266FD87" w14:textId="77777777" w:rsidR="003E5B95" w:rsidRPr="0001200D" w:rsidRDefault="003E5B95" w:rsidP="003E5B95">
      <w:pPr>
        <w:pStyle w:val="EndNoteBibliography"/>
        <w:spacing w:after="240"/>
        <w:ind w:left="720" w:hanging="720"/>
      </w:pPr>
      <w:r w:rsidRPr="0001200D">
        <w:t xml:space="preserve">LePine, M. A., Zhang, Y., Crawford, E. R., &amp; Rich, B. L. (2016). Turning their pain to gain: Charismatic leader influence on follower stress appraisal and job performance. </w:t>
      </w:r>
      <w:r w:rsidRPr="0001200D">
        <w:rPr>
          <w:i/>
        </w:rPr>
        <w:t>Academy of Management Journal</w:t>
      </w:r>
      <w:r w:rsidRPr="0001200D">
        <w:t>,</w:t>
      </w:r>
      <w:r w:rsidRPr="0001200D">
        <w:rPr>
          <w:i/>
        </w:rPr>
        <w:t xml:space="preserve"> 59</w:t>
      </w:r>
      <w:r w:rsidRPr="0001200D">
        <w:t xml:space="preserve">(3), 1036-1059. </w:t>
      </w:r>
    </w:p>
    <w:p w14:paraId="5418F81D" w14:textId="04B09B2E" w:rsidR="003E5B95" w:rsidRPr="0001200D" w:rsidRDefault="003E5B95" w:rsidP="003E5B95">
      <w:pPr>
        <w:pStyle w:val="EndNoteBibliography"/>
        <w:spacing w:after="240"/>
        <w:ind w:left="720" w:hanging="720"/>
      </w:pPr>
      <w:r w:rsidRPr="0001200D">
        <w:t xml:space="preserve">LeRouge, C., Nelson, A., &amp; Blanton, J. E. (2006). The impact of role stress fit and self-esteem on the job attitudes of IT professionals. </w:t>
      </w:r>
      <w:r w:rsidRPr="0001200D">
        <w:rPr>
          <w:i/>
        </w:rPr>
        <w:t>Information &amp; Management</w:t>
      </w:r>
      <w:r w:rsidRPr="0001200D">
        <w:t>,</w:t>
      </w:r>
      <w:r w:rsidRPr="0001200D">
        <w:rPr>
          <w:i/>
        </w:rPr>
        <w:t xml:space="preserve"> 43</w:t>
      </w:r>
      <w:r w:rsidRPr="0001200D">
        <w:t xml:space="preserve">(8), 928-938. </w:t>
      </w:r>
      <w:r w:rsidRPr="003E5B95">
        <w:t>https://doi.org/10.1016/j.im.2006.08.011</w:t>
      </w:r>
      <w:r w:rsidRPr="0001200D">
        <w:t xml:space="preserve"> </w:t>
      </w:r>
    </w:p>
    <w:p w14:paraId="5CF342BB" w14:textId="77777777" w:rsidR="003E5B95" w:rsidRPr="0001200D" w:rsidRDefault="003E5B95" w:rsidP="003E5B95">
      <w:pPr>
        <w:pStyle w:val="EndNoteBibliography"/>
        <w:spacing w:after="240"/>
        <w:ind w:left="720" w:hanging="720"/>
      </w:pPr>
      <w:r w:rsidRPr="0001200D">
        <w:t xml:space="preserve">Li, E. Y., &amp; Shani, A. B. (1991). Stress dynamics of information systems managers: a contingency model. </w:t>
      </w:r>
      <w:r w:rsidRPr="0001200D">
        <w:rPr>
          <w:i/>
        </w:rPr>
        <w:t>Journal of Management Information Systems</w:t>
      </w:r>
      <w:r w:rsidRPr="0001200D">
        <w:t>,</w:t>
      </w:r>
      <w:r w:rsidRPr="0001200D">
        <w:rPr>
          <w:i/>
        </w:rPr>
        <w:t xml:space="preserve"> 7</w:t>
      </w:r>
      <w:r w:rsidRPr="0001200D">
        <w:t xml:space="preserve">(4), 107-130. </w:t>
      </w:r>
    </w:p>
    <w:p w14:paraId="7B53E3BC" w14:textId="0E79AE20" w:rsidR="003E5B95" w:rsidRPr="0001200D" w:rsidRDefault="003E5B95" w:rsidP="003E5B95">
      <w:pPr>
        <w:pStyle w:val="EndNoteBibliography"/>
        <w:spacing w:after="240"/>
        <w:ind w:left="720" w:hanging="720"/>
      </w:pPr>
      <w:r w:rsidRPr="0001200D">
        <w:t xml:space="preserve">Liang, H., &amp; Xue, Y. (2009). Avoidance of Information Technology Threats: A Theoretical Perspective. </w:t>
      </w:r>
      <w:r w:rsidRPr="0001200D">
        <w:rPr>
          <w:i/>
        </w:rPr>
        <w:t>MIS Quarterly</w:t>
      </w:r>
      <w:r w:rsidRPr="0001200D">
        <w:t>,</w:t>
      </w:r>
      <w:r w:rsidRPr="0001200D">
        <w:rPr>
          <w:i/>
        </w:rPr>
        <w:t xml:space="preserve"> 33</w:t>
      </w:r>
      <w:r w:rsidRPr="0001200D">
        <w:t xml:space="preserve">(1), 71-90. </w:t>
      </w:r>
      <w:r w:rsidRPr="003E5B95">
        <w:t>https://doi.org/10.2307/20650279</w:t>
      </w:r>
      <w:r w:rsidRPr="0001200D">
        <w:t xml:space="preserve"> </w:t>
      </w:r>
    </w:p>
    <w:p w14:paraId="5C54A166" w14:textId="70177B6B" w:rsidR="003E5B95" w:rsidRPr="0001200D" w:rsidRDefault="003E5B95" w:rsidP="003E5B95">
      <w:pPr>
        <w:pStyle w:val="EndNoteBibliography"/>
        <w:spacing w:after="240"/>
        <w:ind w:left="720" w:hanging="720"/>
      </w:pPr>
      <w:r w:rsidRPr="0001200D">
        <w:t xml:space="preserve">Liang, H., Xue, Y., Pinsonneault, A., &amp; Wu “Andy”, Y. (2019). What Users Do Besides Problem-Focused Coping When Facing IT Security Threats: An Emotion-Focused Coping Perspective. </w:t>
      </w:r>
      <w:r w:rsidRPr="0001200D">
        <w:rPr>
          <w:i/>
        </w:rPr>
        <w:t>MIS Quarterly</w:t>
      </w:r>
      <w:r w:rsidRPr="0001200D">
        <w:t>,</w:t>
      </w:r>
      <w:r w:rsidRPr="0001200D">
        <w:rPr>
          <w:i/>
        </w:rPr>
        <w:t xml:space="preserve"> 43</w:t>
      </w:r>
      <w:r w:rsidRPr="0001200D">
        <w:t xml:space="preserve">(2), 373-394. </w:t>
      </w:r>
      <w:r w:rsidRPr="003E5B95">
        <w:t>https://doi.org/10.25300/MISQ/2019/14360</w:t>
      </w:r>
      <w:r w:rsidRPr="0001200D">
        <w:t xml:space="preserve"> </w:t>
      </w:r>
    </w:p>
    <w:p w14:paraId="35C0BADE" w14:textId="630EF385" w:rsidR="003E5B95" w:rsidRPr="0001200D" w:rsidRDefault="003E5B95" w:rsidP="003E5B95">
      <w:pPr>
        <w:pStyle w:val="EndNoteBibliography"/>
        <w:spacing w:after="240"/>
        <w:ind w:left="720" w:hanging="720"/>
      </w:pPr>
      <w:r w:rsidRPr="0001200D">
        <w:t xml:space="preserve">Louie, R. (2018). </w:t>
      </w:r>
      <w:r w:rsidRPr="0001200D">
        <w:rPr>
          <w:i/>
        </w:rPr>
        <w:t xml:space="preserve">Cybersecurity Impact on Mental Health: Managing Stress, Building Resilience </w:t>
      </w:r>
      <w:r w:rsidRPr="0001200D">
        <w:t>Retrieved 2 Feb</w:t>
      </w:r>
      <w:r w:rsidR="00861A93">
        <w:t>, 2020</w:t>
      </w:r>
      <w:r w:rsidRPr="0001200D">
        <w:t xml:space="preserve"> from </w:t>
      </w:r>
      <w:r w:rsidRPr="003E5B95">
        <w:t>https://www.rsaconference.com/usa/us-</w:t>
      </w:r>
      <w:r w:rsidRPr="003E5B95">
        <w:lastRenderedPageBreak/>
        <w:t>2018/agenda/cybersecurity-impact-on-mental-health-managing-stress-building-resilience-4</w:t>
      </w:r>
    </w:p>
    <w:p w14:paraId="3DCDB74E" w14:textId="3D536D5F" w:rsidR="003E5B95" w:rsidRPr="0001200D" w:rsidRDefault="003E5B95" w:rsidP="003E5B95">
      <w:pPr>
        <w:pStyle w:val="EndNoteBibliography"/>
        <w:spacing w:after="240"/>
        <w:ind w:left="720" w:hanging="720"/>
      </w:pPr>
      <w:r w:rsidRPr="0001200D">
        <w:t>Lundgren, M., &amp; Bergström, E. (2019). Security-related stress: A perspective on information security risk management. International Conference on Cyber Security and Protection of Digital Services (Cyber Security)</w:t>
      </w:r>
    </w:p>
    <w:p w14:paraId="17FE1151" w14:textId="77777777" w:rsidR="003E5B95" w:rsidRPr="0001200D" w:rsidRDefault="003E5B95" w:rsidP="003E5B95">
      <w:pPr>
        <w:pStyle w:val="EndNoteBibliography"/>
        <w:spacing w:after="240"/>
        <w:ind w:left="720" w:hanging="720"/>
      </w:pPr>
      <w:r w:rsidRPr="0001200D">
        <w:t xml:space="preserve">Maier, C., Laumer, S., Wirth, J., &amp; Weitzel, T. (2019). Technostress and the hierarchical levels of personality: a two-wave study with multiple data samples. </w:t>
      </w:r>
      <w:r w:rsidRPr="0001200D">
        <w:rPr>
          <w:i/>
        </w:rPr>
        <w:t>European Journal of Information Systems</w:t>
      </w:r>
      <w:r w:rsidRPr="0001200D">
        <w:t>,</w:t>
      </w:r>
      <w:r w:rsidRPr="0001200D">
        <w:rPr>
          <w:i/>
        </w:rPr>
        <w:t xml:space="preserve"> 28</w:t>
      </w:r>
      <w:r w:rsidRPr="0001200D">
        <w:t xml:space="preserve">(5), 496-522. </w:t>
      </w:r>
    </w:p>
    <w:p w14:paraId="08EB0C13" w14:textId="77777777" w:rsidR="003E5B95" w:rsidRPr="0001200D" w:rsidRDefault="003E5B95" w:rsidP="003E5B95">
      <w:pPr>
        <w:pStyle w:val="EndNoteBibliography"/>
        <w:spacing w:after="240"/>
        <w:ind w:left="720" w:hanging="720"/>
      </w:pPr>
      <w:r w:rsidRPr="0001200D">
        <w:t>Maier, C., Wirth, J., Laumer, S., &amp; Weitzel, T. (2017). Personality and Technostress: Theorizing the influence of IT mindfulness. Proceedings of the International Conference on Information Systems, Seoul, South Korea.</w:t>
      </w:r>
    </w:p>
    <w:p w14:paraId="3C3AD87E" w14:textId="77777777" w:rsidR="003E5B95" w:rsidRPr="0001200D" w:rsidRDefault="003E5B95" w:rsidP="003E5B95">
      <w:pPr>
        <w:pStyle w:val="EndNoteBibliography"/>
        <w:spacing w:after="240"/>
        <w:ind w:left="720" w:hanging="720"/>
      </w:pPr>
      <w:r w:rsidRPr="0001200D">
        <w:t xml:space="preserve">Maslach, C., &amp; Jackson, S. E. (1981). The measurement of experienced burnout. </w:t>
      </w:r>
      <w:r w:rsidRPr="0001200D">
        <w:rPr>
          <w:i/>
        </w:rPr>
        <w:t>Journal of Organizational Behavior</w:t>
      </w:r>
      <w:r w:rsidRPr="0001200D">
        <w:t>,</w:t>
      </w:r>
      <w:r w:rsidRPr="0001200D">
        <w:rPr>
          <w:i/>
        </w:rPr>
        <w:t xml:space="preserve"> 2</w:t>
      </w:r>
      <w:r w:rsidRPr="0001200D">
        <w:t xml:space="preserve">(2), 99-113. </w:t>
      </w:r>
    </w:p>
    <w:p w14:paraId="38903E54" w14:textId="5DCA5D88" w:rsidR="003E5B95" w:rsidRPr="0001200D" w:rsidRDefault="003E5B95" w:rsidP="003E5B95">
      <w:pPr>
        <w:pStyle w:val="EndNoteBibliography"/>
        <w:spacing w:after="240"/>
        <w:ind w:left="720" w:hanging="720"/>
      </w:pPr>
      <w:r w:rsidRPr="0001200D">
        <w:t xml:space="preserve">McCormac, A., Calic, D., Parsons, K., Butavicius, M., Pattinson, M., &amp; Lillie, M. (2018). The effect of resilience and job stress on information security awareness. </w:t>
      </w:r>
      <w:r w:rsidRPr="0001200D">
        <w:rPr>
          <w:i/>
        </w:rPr>
        <w:t>Information and Computer Security</w:t>
      </w:r>
      <w:r w:rsidRPr="0001200D">
        <w:t>,</w:t>
      </w:r>
      <w:r w:rsidRPr="0001200D">
        <w:rPr>
          <w:i/>
        </w:rPr>
        <w:t xml:space="preserve"> 26</w:t>
      </w:r>
      <w:r w:rsidRPr="0001200D">
        <w:t xml:space="preserve">(3), 277. </w:t>
      </w:r>
    </w:p>
    <w:p w14:paraId="10B3ED37" w14:textId="77777777" w:rsidR="003E5B95" w:rsidRPr="0001200D" w:rsidRDefault="003E5B95" w:rsidP="003E5B95">
      <w:pPr>
        <w:pStyle w:val="EndNoteBibliography"/>
        <w:spacing w:after="240"/>
        <w:ind w:left="720" w:hanging="720"/>
      </w:pPr>
      <w:r w:rsidRPr="0001200D">
        <w:t xml:space="preserve">McGrath, J. E. (1970). A conceptual formulation for research on stress. In J. E. McGrath (Ed.), </w:t>
      </w:r>
      <w:r w:rsidRPr="0001200D">
        <w:rPr>
          <w:i/>
        </w:rPr>
        <w:t>Social and psychological factors in stress</w:t>
      </w:r>
      <w:r w:rsidRPr="0001200D">
        <w:t xml:space="preserve"> (Vol. 10, pp. 10-21). Rinehart, &amp; Winston. </w:t>
      </w:r>
    </w:p>
    <w:p w14:paraId="61A02282" w14:textId="77777777" w:rsidR="003E5B95" w:rsidRPr="0001200D" w:rsidRDefault="003E5B95" w:rsidP="003E5B95">
      <w:pPr>
        <w:pStyle w:val="EndNoteBibliography"/>
        <w:spacing w:after="240"/>
        <w:ind w:left="720" w:hanging="720"/>
      </w:pPr>
      <w:r w:rsidRPr="0001200D">
        <w:t xml:space="preserve">McGrath, J. E. (1976). </w:t>
      </w:r>
      <w:r w:rsidRPr="0001200D">
        <w:rPr>
          <w:i/>
        </w:rPr>
        <w:t>Stress and behavior in organizations, Dunnette MD (ed): Handbook of Industrial and Organizational Psychology</w:t>
      </w:r>
      <w:r w:rsidRPr="0001200D">
        <w:t xml:space="preserve">. RandMcNally. </w:t>
      </w:r>
    </w:p>
    <w:p w14:paraId="5758B2A9" w14:textId="08BC7A69" w:rsidR="003E5B95" w:rsidRPr="0001200D" w:rsidRDefault="003E5B95" w:rsidP="003E5B95">
      <w:pPr>
        <w:pStyle w:val="EndNoteBibliography"/>
        <w:spacing w:after="240"/>
        <w:ind w:left="720" w:hanging="720"/>
      </w:pPr>
      <w:r w:rsidRPr="0001200D">
        <w:t xml:space="preserve">Monica, A., &amp; Gloria, P.-W. (2019). Stressed decision makers and use of decision aids: a literature review and conceptual model. </w:t>
      </w:r>
      <w:r w:rsidRPr="0001200D">
        <w:rPr>
          <w:i/>
        </w:rPr>
        <w:t>Information Technology &amp; People</w:t>
      </w:r>
      <w:r w:rsidRPr="0001200D">
        <w:t>,</w:t>
      </w:r>
      <w:r w:rsidRPr="0001200D">
        <w:rPr>
          <w:i/>
        </w:rPr>
        <w:t xml:space="preserve"> 33</w:t>
      </w:r>
      <w:r w:rsidRPr="0001200D">
        <w:t xml:space="preserve">(2), 710-754. </w:t>
      </w:r>
      <w:r w:rsidRPr="003E5B95">
        <w:t>https://doi.org/10.1108/ITP-04-2019-0194</w:t>
      </w:r>
      <w:r w:rsidRPr="0001200D">
        <w:t xml:space="preserve"> </w:t>
      </w:r>
    </w:p>
    <w:p w14:paraId="00CAEAA5" w14:textId="77777777" w:rsidR="003E5B95" w:rsidRPr="0001200D" w:rsidRDefault="003E5B95" w:rsidP="003E5B95">
      <w:pPr>
        <w:pStyle w:val="EndNoteBibliography"/>
        <w:spacing w:after="240"/>
        <w:ind w:left="720" w:hanging="720"/>
      </w:pPr>
      <w:r w:rsidRPr="0001200D">
        <w:t xml:space="preserve">Moody, G. D., &amp; Galletta, D. F. (2015). Lost in Cyberspace: The Impact of Information Scent and Time Constraints on Stress, Performance, and Attitudes Online. </w:t>
      </w:r>
      <w:r w:rsidRPr="0001200D">
        <w:rPr>
          <w:i/>
        </w:rPr>
        <w:t>Journal of Management Information Systems</w:t>
      </w:r>
      <w:r w:rsidRPr="0001200D">
        <w:t>,</w:t>
      </w:r>
      <w:r w:rsidRPr="0001200D">
        <w:rPr>
          <w:i/>
        </w:rPr>
        <w:t xml:space="preserve"> 32</w:t>
      </w:r>
      <w:r w:rsidRPr="0001200D">
        <w:t xml:space="preserve">(1), 192-224. </w:t>
      </w:r>
      <w:r w:rsidRPr="003E5B95">
        <w:t>https://doi.org/10.1080/07421222.2015.1029391</w:t>
      </w:r>
      <w:r w:rsidRPr="0001200D">
        <w:t xml:space="preserve"> </w:t>
      </w:r>
    </w:p>
    <w:p w14:paraId="039868FA" w14:textId="5109716E" w:rsidR="003E5B95" w:rsidRPr="0001200D" w:rsidRDefault="003E5B95" w:rsidP="003E5B95">
      <w:pPr>
        <w:pStyle w:val="EndNoteBibliography"/>
        <w:spacing w:after="240"/>
        <w:ind w:left="720" w:hanging="720"/>
      </w:pPr>
      <w:r w:rsidRPr="0001200D">
        <w:t xml:space="preserve">Moore, J. E. (2000). One Road To Turnover: An Examination Of Work Exhaustion in Technology Professionals. </w:t>
      </w:r>
      <w:r w:rsidRPr="0001200D">
        <w:rPr>
          <w:i/>
        </w:rPr>
        <w:t>MIS Quarterly</w:t>
      </w:r>
      <w:r w:rsidRPr="0001200D">
        <w:t>,</w:t>
      </w:r>
      <w:r w:rsidRPr="0001200D">
        <w:rPr>
          <w:i/>
        </w:rPr>
        <w:t xml:space="preserve"> 24</w:t>
      </w:r>
      <w:r w:rsidRPr="0001200D">
        <w:t xml:space="preserve">(1), 141-168. </w:t>
      </w:r>
      <w:r w:rsidRPr="003E5B95">
        <w:t>https://doi.org/10.2307/3250982</w:t>
      </w:r>
      <w:r w:rsidRPr="0001200D">
        <w:t xml:space="preserve"> </w:t>
      </w:r>
    </w:p>
    <w:p w14:paraId="08FFF8AB" w14:textId="7711A074" w:rsidR="003E5B95" w:rsidRPr="0001200D" w:rsidRDefault="003E5B95" w:rsidP="003E5B95">
      <w:pPr>
        <w:pStyle w:val="EndNoteBibliography"/>
        <w:spacing w:after="240"/>
        <w:ind w:left="720" w:hanging="720"/>
      </w:pPr>
      <w:r w:rsidRPr="0001200D">
        <w:t xml:space="preserve">Moquin, R., &amp; Wakefield, R. L. (2016). The Roles of Awareness, Sanctions, and Ethics in Software Compliance. </w:t>
      </w:r>
      <w:r w:rsidRPr="0001200D">
        <w:rPr>
          <w:i/>
        </w:rPr>
        <w:t>Journal of Computer Information Systems</w:t>
      </w:r>
      <w:r w:rsidRPr="0001200D">
        <w:t>,</w:t>
      </w:r>
      <w:r w:rsidRPr="0001200D">
        <w:rPr>
          <w:i/>
        </w:rPr>
        <w:t xml:space="preserve"> 56</w:t>
      </w:r>
      <w:r w:rsidRPr="0001200D">
        <w:t xml:space="preserve">(3), 261-270. </w:t>
      </w:r>
      <w:r w:rsidRPr="003E5B95">
        <w:t>https://doi.org/10.1080/08874417.2016.1153922</w:t>
      </w:r>
      <w:r w:rsidRPr="0001200D">
        <w:t xml:space="preserve"> </w:t>
      </w:r>
    </w:p>
    <w:p w14:paraId="5EF37FC9" w14:textId="77777777" w:rsidR="003E5B95" w:rsidRPr="0001200D" w:rsidRDefault="003E5B95" w:rsidP="003E5B95">
      <w:pPr>
        <w:pStyle w:val="EndNoteBibliography"/>
        <w:spacing w:after="240"/>
        <w:ind w:left="720" w:hanging="720"/>
      </w:pPr>
      <w:r w:rsidRPr="0001200D">
        <w:t xml:space="preserve">Motowidlo, S. J., Packard, J. S., &amp; Manning, M. R. (1986). Occupational stress: its causes and consequences for job performance. </w:t>
      </w:r>
      <w:r w:rsidRPr="0001200D">
        <w:rPr>
          <w:i/>
        </w:rPr>
        <w:t>Journal of Applied Psychology</w:t>
      </w:r>
      <w:r w:rsidRPr="0001200D">
        <w:t>,</w:t>
      </w:r>
      <w:r w:rsidRPr="0001200D">
        <w:rPr>
          <w:i/>
        </w:rPr>
        <w:t xml:space="preserve"> 71</w:t>
      </w:r>
      <w:r w:rsidRPr="0001200D">
        <w:t xml:space="preserve">(4), 618-629. </w:t>
      </w:r>
    </w:p>
    <w:p w14:paraId="3E7A1D6A" w14:textId="77777777" w:rsidR="003E5B95" w:rsidRPr="0001200D" w:rsidRDefault="003E5B95" w:rsidP="003E5B95">
      <w:pPr>
        <w:pStyle w:val="EndNoteBibliography"/>
        <w:spacing w:after="240"/>
        <w:ind w:left="720" w:hanging="720"/>
      </w:pPr>
      <w:r w:rsidRPr="0001200D">
        <w:lastRenderedPageBreak/>
        <w:t xml:space="preserve">Nelson, D. L. (1990). Individual adjustment to information-driven technologies: A critical review. </w:t>
      </w:r>
      <w:r w:rsidRPr="0001200D">
        <w:rPr>
          <w:i/>
        </w:rPr>
        <w:t>MIS Quarterly</w:t>
      </w:r>
      <w:r w:rsidRPr="0001200D">
        <w:t>,</w:t>
      </w:r>
      <w:r w:rsidRPr="0001200D">
        <w:rPr>
          <w:i/>
        </w:rPr>
        <w:t xml:space="preserve"> 14</w:t>
      </w:r>
      <w:r w:rsidRPr="0001200D">
        <w:t xml:space="preserve">(1), 79-98. </w:t>
      </w:r>
    </w:p>
    <w:p w14:paraId="6DC73DED" w14:textId="77777777" w:rsidR="003E5B95" w:rsidRPr="0001200D" w:rsidRDefault="003E5B95" w:rsidP="003E5B95">
      <w:pPr>
        <w:pStyle w:val="EndNoteBibliography"/>
        <w:spacing w:after="240"/>
        <w:ind w:left="720" w:hanging="720"/>
      </w:pPr>
      <w:r w:rsidRPr="0001200D">
        <w:t xml:space="preserve">Okoli, C., &amp; Schabram, K. (2010). A guide to conducting a systematic literature review of information systems research. </w:t>
      </w:r>
      <w:r w:rsidRPr="0001200D">
        <w:rPr>
          <w:i/>
        </w:rPr>
        <w:t>Communications of the Association for Information Systems</w:t>
      </w:r>
      <w:r w:rsidRPr="0001200D">
        <w:t>,</w:t>
      </w:r>
      <w:r w:rsidRPr="0001200D">
        <w:rPr>
          <w:i/>
        </w:rPr>
        <w:t xml:space="preserve"> 37</w:t>
      </w:r>
      <w:r w:rsidRPr="0001200D">
        <w:t xml:space="preserve">(43), 879-910. </w:t>
      </w:r>
    </w:p>
    <w:p w14:paraId="0F9FA5CF" w14:textId="77777777" w:rsidR="003E5B95" w:rsidRPr="0001200D" w:rsidRDefault="003E5B95" w:rsidP="003E5B95">
      <w:pPr>
        <w:pStyle w:val="EndNoteBibliography"/>
        <w:spacing w:after="240"/>
        <w:ind w:left="720" w:hanging="720"/>
      </w:pPr>
      <w:r w:rsidRPr="0001200D">
        <w:t xml:space="preserve">Oltsik, J. (2019). </w:t>
      </w:r>
      <w:r w:rsidRPr="0001200D">
        <w:rPr>
          <w:i/>
        </w:rPr>
        <w:t>The most stressful aspects of being a cybersecurity professional</w:t>
      </w:r>
      <w:r w:rsidRPr="0001200D">
        <w:t xml:space="preserve">. CSO United States. Retrieved 25 Oct, 2019 from </w:t>
      </w:r>
      <w:r w:rsidRPr="003E5B95">
        <w:t>https://www.csoonline.com/article/3395865/the-most-stressful-aspects-of-being-a-cybersecurity-professional.html</w:t>
      </w:r>
    </w:p>
    <w:p w14:paraId="7AA8C1A6" w14:textId="77777777" w:rsidR="003E5B95" w:rsidRPr="0001200D" w:rsidRDefault="003E5B95" w:rsidP="003E5B95">
      <w:pPr>
        <w:pStyle w:val="EndNoteBibliography"/>
        <w:spacing w:after="240"/>
        <w:ind w:left="720" w:hanging="720"/>
      </w:pPr>
      <w:r w:rsidRPr="0001200D">
        <w:t xml:space="preserve">Oltsik, J., &amp; Alexander, C. (2018). </w:t>
      </w:r>
      <w:r w:rsidRPr="0001200D">
        <w:rPr>
          <w:i/>
        </w:rPr>
        <w:t>The Life and Times of Cybersecurity Professionals</w:t>
      </w:r>
      <w:r w:rsidRPr="0001200D">
        <w:t xml:space="preserve">. Retrieved 2 Feb, 2020 from </w:t>
      </w:r>
      <w:r w:rsidRPr="003E5B95">
        <w:t>https://www.esg-global.com/hubfs/pdf/ESG-ISSA-Research-Report-Life-of-Cybersecurity-Professionals-Apr-2019.pdf</w:t>
      </w:r>
    </w:p>
    <w:p w14:paraId="3719FA23" w14:textId="48F0B365" w:rsidR="003E5B95" w:rsidRPr="0001200D" w:rsidRDefault="003E5B95" w:rsidP="003E5B95">
      <w:pPr>
        <w:pStyle w:val="EndNoteBibliography"/>
        <w:spacing w:after="240"/>
        <w:ind w:left="720" w:hanging="720"/>
      </w:pPr>
      <w:r w:rsidRPr="0001200D">
        <w:t xml:space="preserve">Ortiz de Guinea, A. (2016). A pragmatic multi-method investigation of discrepant technological events: Coping, attributions, and ‘accidental’ learning. </w:t>
      </w:r>
      <w:r w:rsidRPr="0001200D">
        <w:rPr>
          <w:i/>
        </w:rPr>
        <w:t>Information &amp; Management</w:t>
      </w:r>
      <w:r w:rsidRPr="0001200D">
        <w:t>,</w:t>
      </w:r>
      <w:r w:rsidRPr="0001200D">
        <w:rPr>
          <w:i/>
        </w:rPr>
        <w:t xml:space="preserve"> 53</w:t>
      </w:r>
      <w:r w:rsidRPr="0001200D">
        <w:t xml:space="preserve">(6), 787-802. </w:t>
      </w:r>
      <w:r w:rsidRPr="003E5B95">
        <w:t>https://doi.org/10.1016/j.im.2016.03.003</w:t>
      </w:r>
      <w:r w:rsidRPr="0001200D">
        <w:t xml:space="preserve"> </w:t>
      </w:r>
    </w:p>
    <w:p w14:paraId="7A9DDBDD" w14:textId="77777777" w:rsidR="003E5B95" w:rsidRPr="0001200D" w:rsidRDefault="003E5B95" w:rsidP="003E5B95">
      <w:pPr>
        <w:pStyle w:val="EndNoteBibliography"/>
        <w:spacing w:after="240"/>
        <w:ind w:left="720" w:hanging="720"/>
      </w:pPr>
      <w:r w:rsidRPr="0001200D">
        <w:t xml:space="preserve">Paré, G., Trudel, M.-C., Jaana, M., &amp; Kitsiou, S. (2015). Synthesizing information systems knowledge: A typology of literature reviews. </w:t>
      </w:r>
      <w:r w:rsidRPr="0001200D">
        <w:rPr>
          <w:i/>
        </w:rPr>
        <w:t>Information &amp; Management</w:t>
      </w:r>
      <w:r w:rsidRPr="0001200D">
        <w:t>,</w:t>
      </w:r>
      <w:r w:rsidRPr="0001200D">
        <w:rPr>
          <w:i/>
        </w:rPr>
        <w:t xml:space="preserve"> 52</w:t>
      </w:r>
      <w:r w:rsidRPr="0001200D">
        <w:t xml:space="preserve">(2), 183-199. </w:t>
      </w:r>
      <w:r w:rsidRPr="003E5B95">
        <w:t>https://doi.org/https://doi.org/10.1016/j.im.2014.08.008</w:t>
      </w:r>
      <w:r w:rsidRPr="0001200D">
        <w:t xml:space="preserve"> </w:t>
      </w:r>
    </w:p>
    <w:p w14:paraId="1508B49C" w14:textId="41B0D374" w:rsidR="003E5B95" w:rsidRPr="0001200D" w:rsidRDefault="003E5B95" w:rsidP="003E5B95">
      <w:pPr>
        <w:pStyle w:val="EndNoteBibliography"/>
        <w:spacing w:after="240"/>
        <w:ind w:left="720" w:hanging="720"/>
      </w:pPr>
      <w:r w:rsidRPr="0001200D">
        <w:t xml:space="preserve">Pham, H.-C., El-Den, J., &amp; Richardson, J. (2016). Stress-based security compliance model – an exploratory study. </w:t>
      </w:r>
      <w:r w:rsidRPr="0001200D">
        <w:rPr>
          <w:i/>
        </w:rPr>
        <w:t>Information and Computer Security</w:t>
      </w:r>
      <w:r w:rsidRPr="0001200D">
        <w:t>,</w:t>
      </w:r>
      <w:r w:rsidRPr="0001200D">
        <w:rPr>
          <w:i/>
        </w:rPr>
        <w:t xml:space="preserve"> 24</w:t>
      </w:r>
      <w:r w:rsidRPr="0001200D">
        <w:t xml:space="preserve">(4), 326. </w:t>
      </w:r>
    </w:p>
    <w:p w14:paraId="0A0579F3" w14:textId="77777777" w:rsidR="003E5B95" w:rsidRPr="0001200D" w:rsidRDefault="003E5B95" w:rsidP="003E5B95">
      <w:pPr>
        <w:pStyle w:val="EndNoteBibliography"/>
        <w:spacing w:after="240"/>
        <w:ind w:left="720" w:hanging="720"/>
      </w:pPr>
      <w:r w:rsidRPr="0001200D">
        <w:t xml:space="preserve">Pham, H. C. (2019). Information security burnout: Identification of sources and mitigating factors from security demands and resources. </w:t>
      </w:r>
      <w:r w:rsidRPr="0001200D">
        <w:rPr>
          <w:i/>
        </w:rPr>
        <w:t>Journal of Information Security Applications</w:t>
      </w:r>
      <w:r w:rsidRPr="0001200D">
        <w:t>,</w:t>
      </w:r>
      <w:r w:rsidRPr="0001200D">
        <w:rPr>
          <w:i/>
        </w:rPr>
        <w:t xml:space="preserve"> 46</w:t>
      </w:r>
      <w:r w:rsidRPr="0001200D">
        <w:t xml:space="preserve">, 96-107. </w:t>
      </w:r>
    </w:p>
    <w:p w14:paraId="0F241860" w14:textId="77777777" w:rsidR="003E5B95" w:rsidRPr="0001200D" w:rsidRDefault="003E5B95" w:rsidP="003E5B95">
      <w:pPr>
        <w:pStyle w:val="EndNoteBibliography"/>
        <w:spacing w:after="240"/>
        <w:ind w:left="720" w:hanging="720"/>
      </w:pPr>
      <w:r w:rsidRPr="0001200D">
        <w:t>Pirkkalainen, H., Salo, M., Makkonen, M., &amp; Tarafdar, M. (2017). Coping with technostress: When emotional responses fail. ICIS 2017: Proceedings the 38th International Conference on Information Systems, Seoul, South Korea.</w:t>
      </w:r>
    </w:p>
    <w:p w14:paraId="76C7DE15" w14:textId="77777777" w:rsidR="003E5B95" w:rsidRPr="0001200D" w:rsidRDefault="003E5B95" w:rsidP="003E5B95">
      <w:pPr>
        <w:pStyle w:val="EndNoteBibliography"/>
        <w:spacing w:after="240"/>
        <w:ind w:left="720" w:hanging="720"/>
      </w:pPr>
      <w:r w:rsidRPr="0001200D">
        <w:t xml:space="preserve">Pirkkalainen, H., Salo, M., Tarafdar, M., &amp; Makkonen, M. (2019). Deliberate or Instinctive? Proactive and Reactive Coping for Technostress. </w:t>
      </w:r>
      <w:r w:rsidRPr="0001200D">
        <w:rPr>
          <w:i/>
        </w:rPr>
        <w:t>Journal of Management Information Systems</w:t>
      </w:r>
      <w:r w:rsidRPr="0001200D">
        <w:t>,</w:t>
      </w:r>
      <w:r w:rsidRPr="0001200D">
        <w:rPr>
          <w:i/>
        </w:rPr>
        <w:t xml:space="preserve"> 36</w:t>
      </w:r>
      <w:r w:rsidRPr="0001200D">
        <w:t xml:space="preserve">(4), 1179-1212. </w:t>
      </w:r>
    </w:p>
    <w:p w14:paraId="6C9FC935" w14:textId="77777777" w:rsidR="003E5B95" w:rsidRPr="0001200D" w:rsidRDefault="003E5B95" w:rsidP="003E5B95">
      <w:pPr>
        <w:pStyle w:val="EndNoteBibliography"/>
        <w:spacing w:after="240"/>
        <w:ind w:left="720" w:hanging="720"/>
      </w:pPr>
      <w:r w:rsidRPr="0001200D">
        <w:t xml:space="preserve">Podsakoff, N. P., LePine, J. A., &amp; LePine, M. A. (2007). Differential challenge stressor-hindrance stressor relationships with job attitudes, turnover intentions, turnover, and withdrawal behavior: a meta-analysis. </w:t>
      </w:r>
      <w:r w:rsidRPr="0001200D">
        <w:rPr>
          <w:i/>
        </w:rPr>
        <w:t>Journal of Applied Psychology</w:t>
      </w:r>
      <w:r w:rsidRPr="0001200D">
        <w:t>,</w:t>
      </w:r>
      <w:r w:rsidRPr="0001200D">
        <w:rPr>
          <w:i/>
        </w:rPr>
        <w:t xml:space="preserve"> 92</w:t>
      </w:r>
      <w:r w:rsidRPr="0001200D">
        <w:t xml:space="preserve">(2), 438-454. </w:t>
      </w:r>
    </w:p>
    <w:p w14:paraId="48F6E094" w14:textId="77777777" w:rsidR="003E5B95" w:rsidRPr="0001200D" w:rsidRDefault="003E5B95" w:rsidP="003E5B95">
      <w:pPr>
        <w:pStyle w:val="EndNoteBibliography"/>
        <w:spacing w:after="240"/>
        <w:ind w:left="720" w:hanging="720"/>
      </w:pPr>
      <w:r w:rsidRPr="0001200D">
        <w:t xml:space="preserve">Posey, C., Bennett, B., Roberts, T., &amp; Lowry, P. B. (2011). When computer monitoring backfires: Invasion of privacy and organizational injustice as precursors to computer abuse. </w:t>
      </w:r>
      <w:r w:rsidRPr="0001200D">
        <w:rPr>
          <w:i/>
        </w:rPr>
        <w:t>Journal of Information Systems Security</w:t>
      </w:r>
      <w:r w:rsidRPr="0001200D">
        <w:t>,</w:t>
      </w:r>
      <w:r w:rsidRPr="0001200D">
        <w:rPr>
          <w:i/>
        </w:rPr>
        <w:t xml:space="preserve"> 7</w:t>
      </w:r>
      <w:r w:rsidRPr="0001200D">
        <w:t xml:space="preserve">(1), 24-47. </w:t>
      </w:r>
    </w:p>
    <w:p w14:paraId="42125E04" w14:textId="77777777" w:rsidR="003E5B95" w:rsidRPr="0001200D" w:rsidRDefault="003E5B95" w:rsidP="003E5B95">
      <w:pPr>
        <w:pStyle w:val="EndNoteBibliography"/>
        <w:spacing w:after="240"/>
        <w:ind w:left="720" w:hanging="720"/>
      </w:pPr>
      <w:r w:rsidRPr="0001200D">
        <w:lastRenderedPageBreak/>
        <w:t xml:space="preserve">Posey, C., Bennett, R. J., &amp; Roberts, T. L. (2011). Understanding the mindset of the abusive insider: An examination of insiders’ causal reasoning following internal security changes. </w:t>
      </w:r>
      <w:r w:rsidRPr="0001200D">
        <w:rPr>
          <w:i/>
        </w:rPr>
        <w:t>COmputers Security</w:t>
      </w:r>
      <w:r w:rsidRPr="0001200D">
        <w:t>,</w:t>
      </w:r>
      <w:r w:rsidRPr="0001200D">
        <w:rPr>
          <w:i/>
        </w:rPr>
        <w:t xml:space="preserve"> 30</w:t>
      </w:r>
      <w:r w:rsidRPr="0001200D">
        <w:t xml:space="preserve">(6-7), 486-497. </w:t>
      </w:r>
    </w:p>
    <w:p w14:paraId="55AD8788" w14:textId="77777777" w:rsidR="003E5B95" w:rsidRPr="0001200D" w:rsidRDefault="003E5B95" w:rsidP="003E5B95">
      <w:pPr>
        <w:pStyle w:val="EndNoteBibliography"/>
        <w:spacing w:after="240"/>
        <w:ind w:left="720" w:hanging="720"/>
      </w:pPr>
      <w:r w:rsidRPr="0001200D">
        <w:t xml:space="preserve">Posey, C., Roberts, T. L., Lowry, P. B., &amp; Hightower, R. T. (2014). Bridging the divide: A qualitative comparison of information security thought patterns between information security professionals and ordinary organizational insiders. </w:t>
      </w:r>
      <w:r w:rsidRPr="0001200D">
        <w:rPr>
          <w:i/>
        </w:rPr>
        <w:t>Information &amp; Management</w:t>
      </w:r>
      <w:r w:rsidRPr="0001200D">
        <w:t>,</w:t>
      </w:r>
      <w:r w:rsidRPr="0001200D">
        <w:rPr>
          <w:i/>
        </w:rPr>
        <w:t xml:space="preserve"> 51</w:t>
      </w:r>
      <w:r w:rsidRPr="0001200D">
        <w:t xml:space="preserve">(5), 551-567. </w:t>
      </w:r>
      <w:r w:rsidRPr="003E5B95">
        <w:t>https://doi.org/https://doi.org/10.1016/j.im.2014.03.009</w:t>
      </w:r>
      <w:r w:rsidRPr="0001200D">
        <w:t xml:space="preserve"> </w:t>
      </w:r>
    </w:p>
    <w:p w14:paraId="7D356291" w14:textId="77777777" w:rsidR="003E5B95" w:rsidRPr="0001200D" w:rsidRDefault="003E5B95" w:rsidP="003E5B95">
      <w:pPr>
        <w:pStyle w:val="EndNoteBibliography"/>
        <w:spacing w:after="240"/>
        <w:ind w:left="720" w:hanging="720"/>
      </w:pPr>
      <w:r w:rsidRPr="0001200D">
        <w:t xml:space="preserve">Ragu-Nathan, T., Tarafdar, M., Ragu-Nathan, B. S., &amp; Tu, Q. (2008). The consequences of technostress for end users in organizations: Conceptual development and empirical validation. </w:t>
      </w:r>
      <w:r w:rsidRPr="0001200D">
        <w:rPr>
          <w:i/>
        </w:rPr>
        <w:t>Information Systems Research</w:t>
      </w:r>
      <w:r w:rsidRPr="0001200D">
        <w:t>,</w:t>
      </w:r>
      <w:r w:rsidRPr="0001200D">
        <w:rPr>
          <w:i/>
        </w:rPr>
        <w:t xml:space="preserve"> 19</w:t>
      </w:r>
      <w:r w:rsidRPr="0001200D">
        <w:t xml:space="preserve">(4), 417-433. </w:t>
      </w:r>
    </w:p>
    <w:p w14:paraId="04133FAD" w14:textId="79D91903" w:rsidR="003E5B95" w:rsidRPr="0001200D" w:rsidRDefault="003E5B95" w:rsidP="003E5B95">
      <w:pPr>
        <w:pStyle w:val="EndNoteBibliography"/>
        <w:spacing w:after="240"/>
        <w:ind w:left="720" w:hanging="720"/>
      </w:pPr>
      <w:r w:rsidRPr="0001200D">
        <w:t xml:space="preserve">Riedl, R., Davis, F. D., &amp; Hevner, A. R. (2014). Towards a NeuroIS research methodology: intensifying the discussion on methods, tools, and measurement. </w:t>
      </w:r>
      <w:r w:rsidRPr="0001200D">
        <w:rPr>
          <w:i/>
        </w:rPr>
        <w:t>Journal of the Association for Information Systems</w:t>
      </w:r>
      <w:r w:rsidRPr="0001200D">
        <w:t>,</w:t>
      </w:r>
      <w:r w:rsidRPr="0001200D">
        <w:rPr>
          <w:i/>
        </w:rPr>
        <w:t xml:space="preserve"> 15</w:t>
      </w:r>
      <w:r w:rsidRPr="0001200D">
        <w:t>(10),</w:t>
      </w:r>
      <w:r w:rsidR="00861A93">
        <w:t xml:space="preserve"> i-xxxv,</w:t>
      </w:r>
      <w:r w:rsidRPr="0001200D">
        <w:t xml:space="preserve"> Article 4. </w:t>
      </w:r>
    </w:p>
    <w:p w14:paraId="717E9202" w14:textId="77777777" w:rsidR="003E5B95" w:rsidRPr="0001200D" w:rsidRDefault="003E5B95" w:rsidP="003E5B95">
      <w:pPr>
        <w:pStyle w:val="EndNoteBibliography"/>
        <w:spacing w:after="240"/>
        <w:ind w:left="720" w:hanging="720"/>
      </w:pPr>
      <w:r w:rsidRPr="0001200D">
        <w:t xml:space="preserve">Rutner, P. S., Hardgrave, B. C., &amp; McKnight, D. H. (2008). Emotional dissonance and the information technology professional. </w:t>
      </w:r>
      <w:r w:rsidRPr="0001200D">
        <w:rPr>
          <w:i/>
        </w:rPr>
        <w:t>MIS Quarterly</w:t>
      </w:r>
      <w:r w:rsidRPr="0001200D">
        <w:t>,</w:t>
      </w:r>
      <w:r w:rsidRPr="0001200D">
        <w:rPr>
          <w:i/>
        </w:rPr>
        <w:t xml:space="preserve"> 32</w:t>
      </w:r>
      <w:r w:rsidRPr="0001200D">
        <w:t xml:space="preserve">(3), 635-652. </w:t>
      </w:r>
    </w:p>
    <w:p w14:paraId="1FB43F7B" w14:textId="76EE3970" w:rsidR="003E5B95" w:rsidRPr="0001200D" w:rsidRDefault="003E5B95" w:rsidP="003E5B95">
      <w:pPr>
        <w:pStyle w:val="EndNoteBibliography"/>
        <w:spacing w:after="240"/>
        <w:ind w:left="720" w:hanging="720"/>
      </w:pPr>
      <w:r w:rsidRPr="0001200D">
        <w:t xml:space="preserve">Salanova, M., Grau, R. M., Cifre, E., &amp; Llorens, S. (2000). Computer training, frequency of usage and burnout: the moderating role of computer self-efficacy. </w:t>
      </w:r>
      <w:r w:rsidRPr="0001200D">
        <w:rPr>
          <w:i/>
        </w:rPr>
        <w:t>Computers in Human Behavior</w:t>
      </w:r>
      <w:r w:rsidRPr="0001200D">
        <w:t>,</w:t>
      </w:r>
      <w:r w:rsidRPr="0001200D">
        <w:rPr>
          <w:i/>
        </w:rPr>
        <w:t xml:space="preserve"> 16</w:t>
      </w:r>
      <w:r w:rsidRPr="0001200D">
        <w:t xml:space="preserve">(6), 575-590. </w:t>
      </w:r>
      <w:r w:rsidRPr="003E5B95">
        <w:t>https://doi.org/10.1016/S0747-5632(00)00028-5</w:t>
      </w:r>
      <w:r w:rsidRPr="0001200D">
        <w:t xml:space="preserve"> </w:t>
      </w:r>
    </w:p>
    <w:p w14:paraId="60F402C3" w14:textId="02AA7F6A" w:rsidR="003E5B95" w:rsidRPr="0001200D" w:rsidRDefault="003E5B95" w:rsidP="003E5B95">
      <w:pPr>
        <w:pStyle w:val="EndNoteBibliography"/>
        <w:spacing w:after="240"/>
        <w:ind w:left="720" w:hanging="720"/>
      </w:pPr>
      <w:r w:rsidRPr="0001200D">
        <w:t xml:space="preserve">Shih, S.-P., Jiang, J. J., Klein, G., &amp; Wang, E. (2011). Learning demand and job autonomy of IT personnel: Impact on turnover intention. </w:t>
      </w:r>
      <w:r w:rsidRPr="0001200D">
        <w:rPr>
          <w:i/>
        </w:rPr>
        <w:t>Computers in Human Behavior</w:t>
      </w:r>
      <w:r w:rsidRPr="0001200D">
        <w:t>,</w:t>
      </w:r>
      <w:r w:rsidRPr="0001200D">
        <w:rPr>
          <w:i/>
        </w:rPr>
        <w:t xml:space="preserve"> 27</w:t>
      </w:r>
      <w:r w:rsidRPr="0001200D">
        <w:t xml:space="preserve">(6), 2301-2307. </w:t>
      </w:r>
      <w:r w:rsidRPr="003E5B95">
        <w:t>https://doi.org/10.1016/j.chb.2011.07.009</w:t>
      </w:r>
      <w:r w:rsidRPr="0001200D">
        <w:t xml:space="preserve"> </w:t>
      </w:r>
    </w:p>
    <w:p w14:paraId="0C1ACBB5" w14:textId="77777777" w:rsidR="003E5B95" w:rsidRPr="0001200D" w:rsidRDefault="003E5B95" w:rsidP="003E5B95">
      <w:pPr>
        <w:pStyle w:val="EndNoteBibliography"/>
        <w:spacing w:after="240"/>
        <w:ind w:left="720" w:hanging="720"/>
      </w:pPr>
      <w:r w:rsidRPr="0001200D">
        <w:t xml:space="preserve">Shih, S.-P., Jiang, J. J., Klein, G., &amp; Wang, E. (2013). Job burnout of the information technology worker: Work exhaustion, depersonalization, and personal accomplishment. </w:t>
      </w:r>
      <w:r w:rsidRPr="0001200D">
        <w:rPr>
          <w:i/>
        </w:rPr>
        <w:t>Information &amp; Management</w:t>
      </w:r>
      <w:r w:rsidRPr="0001200D">
        <w:t>,</w:t>
      </w:r>
      <w:r w:rsidRPr="0001200D">
        <w:rPr>
          <w:i/>
        </w:rPr>
        <w:t xml:space="preserve"> 50</w:t>
      </w:r>
      <w:r w:rsidRPr="0001200D">
        <w:t xml:space="preserve">(7), 582-589. </w:t>
      </w:r>
    </w:p>
    <w:p w14:paraId="7B05A290" w14:textId="709B5292" w:rsidR="003E5B95" w:rsidRPr="0001200D" w:rsidRDefault="003E5B95" w:rsidP="003E5B95">
      <w:pPr>
        <w:pStyle w:val="EndNoteBibliography"/>
        <w:spacing w:after="240"/>
        <w:ind w:left="720" w:hanging="720"/>
      </w:pPr>
      <w:r w:rsidRPr="0001200D">
        <w:t xml:space="preserve">Shropshire, J., &amp; Kadlec, C. (2012). I’m leaving the IT field: the impact of stress, job insecurity, and burnout on IT professionals. </w:t>
      </w:r>
      <w:r w:rsidRPr="0001200D">
        <w:rPr>
          <w:i/>
        </w:rPr>
        <w:t>International Journal of Information and Communication Technology Research</w:t>
      </w:r>
      <w:r w:rsidRPr="0001200D">
        <w:t>,</w:t>
      </w:r>
      <w:r w:rsidRPr="0001200D">
        <w:rPr>
          <w:i/>
        </w:rPr>
        <w:t xml:space="preserve"> 2</w:t>
      </w:r>
      <w:r w:rsidRPr="0001200D">
        <w:t>(1)</w:t>
      </w:r>
      <w:r w:rsidR="00861A93">
        <w:t>, 6-16.</w:t>
      </w:r>
    </w:p>
    <w:p w14:paraId="223A56EA" w14:textId="689C7025" w:rsidR="003E5B95" w:rsidRPr="0001200D" w:rsidRDefault="003E5B95" w:rsidP="003E5B95">
      <w:pPr>
        <w:pStyle w:val="EndNoteBibliography"/>
        <w:spacing w:after="240"/>
        <w:ind w:left="720" w:hanging="720"/>
      </w:pPr>
      <w:r w:rsidRPr="0001200D">
        <w:t xml:space="preserve">Simmons, B. L., &amp; Nelson, D. L. (2007). Eustress at work: Extending the holistic stress model. In D. L. Nelson &amp; C. L. Cooper (Eds.), </w:t>
      </w:r>
      <w:r w:rsidRPr="0001200D">
        <w:rPr>
          <w:i/>
        </w:rPr>
        <w:t>Positive organizational behavior</w:t>
      </w:r>
      <w:r w:rsidRPr="0001200D">
        <w:t xml:space="preserve"> (pp. 40-53). London, England: Sage. </w:t>
      </w:r>
    </w:p>
    <w:p w14:paraId="0C937D99" w14:textId="77777777" w:rsidR="003C2992" w:rsidRPr="006251C8" w:rsidRDefault="003C2992" w:rsidP="003C2992">
      <w:pPr>
        <w:pStyle w:val="EndNoteBibliography"/>
        <w:ind w:left="720" w:hanging="720"/>
      </w:pPr>
      <w:r w:rsidRPr="006251C8">
        <w:t xml:space="preserve">Sonnentag, S., &amp; Frese, M. (2003). Stress in organizations. In W. C. Borman, D. R. IIgen, &amp; R. J. Klimoski (Eds.), </w:t>
      </w:r>
      <w:r w:rsidRPr="006251C8">
        <w:rPr>
          <w:i/>
        </w:rPr>
        <w:t>Handbook of psychology: Industrial and organizational psychology</w:t>
      </w:r>
      <w:r w:rsidRPr="006251C8">
        <w:t xml:space="preserve"> (Vol. 12, pp. 453-491). John Wiley &amp; Sons Inc. </w:t>
      </w:r>
    </w:p>
    <w:p w14:paraId="31247AF5" w14:textId="77777777" w:rsidR="003E5B95" w:rsidRPr="0001200D" w:rsidRDefault="003E5B95" w:rsidP="003E5B95">
      <w:pPr>
        <w:pStyle w:val="EndNoteBibliography"/>
        <w:spacing w:after="240"/>
        <w:ind w:left="720" w:hanging="720"/>
      </w:pPr>
      <w:r w:rsidRPr="0001200D">
        <w:t xml:space="preserve">Srivastava, S. C., Chandra, S., &amp; Shirish, A. (2015). Technostress creators and job outcomes: theorising the moderating influence of personality traits. </w:t>
      </w:r>
      <w:r w:rsidRPr="0001200D">
        <w:rPr>
          <w:i/>
        </w:rPr>
        <w:t>Information Systems Journal</w:t>
      </w:r>
      <w:r w:rsidRPr="0001200D">
        <w:t>,</w:t>
      </w:r>
      <w:r w:rsidRPr="0001200D">
        <w:rPr>
          <w:i/>
        </w:rPr>
        <w:t xml:space="preserve"> 25</w:t>
      </w:r>
      <w:r w:rsidRPr="0001200D">
        <w:t xml:space="preserve">(4), 355-401. </w:t>
      </w:r>
    </w:p>
    <w:p w14:paraId="5F8DD44E" w14:textId="4584E809" w:rsidR="003E5B95" w:rsidRPr="0001200D" w:rsidRDefault="003E5B95" w:rsidP="003E5B95">
      <w:pPr>
        <w:pStyle w:val="EndNoteBibliography"/>
        <w:spacing w:after="240"/>
        <w:ind w:left="720" w:hanging="720"/>
      </w:pPr>
      <w:r w:rsidRPr="0001200D">
        <w:lastRenderedPageBreak/>
        <w:t xml:space="preserve">Stich, J.-F., Tarafdar, M., Stacey, P., &amp; Cooper, C. L. (2019a). E-mail load, workload stress and desired e-mail load: a cybernetic approach. </w:t>
      </w:r>
      <w:r w:rsidRPr="0001200D">
        <w:rPr>
          <w:i/>
        </w:rPr>
        <w:t>Information Technology &amp; People</w:t>
      </w:r>
      <w:r w:rsidRPr="0001200D">
        <w:t>,</w:t>
      </w:r>
      <w:r w:rsidRPr="0001200D">
        <w:rPr>
          <w:i/>
        </w:rPr>
        <w:t xml:space="preserve"> 32</w:t>
      </w:r>
      <w:r w:rsidRPr="0001200D">
        <w:t xml:space="preserve">(2), 430-452. </w:t>
      </w:r>
      <w:r w:rsidRPr="003E5B95">
        <w:t>https://doi.org/10.1108/ITP-10-2017-0321</w:t>
      </w:r>
      <w:r w:rsidRPr="0001200D">
        <w:t xml:space="preserve"> </w:t>
      </w:r>
    </w:p>
    <w:p w14:paraId="5F16A33A" w14:textId="77777777" w:rsidR="003E5B95" w:rsidRPr="0001200D" w:rsidRDefault="003E5B95" w:rsidP="003E5B95">
      <w:pPr>
        <w:pStyle w:val="EndNoteBibliography"/>
        <w:spacing w:after="240"/>
        <w:ind w:left="720" w:hanging="720"/>
      </w:pPr>
      <w:r w:rsidRPr="0001200D">
        <w:t xml:space="preserve">Stich, J.-F., Tarafdar, M., Stacey, P., &amp; Cooper, S. C. (2019b). Appraisal of Email Use as A Source of Workplace Stress: A Person-Environment Fit Approach. </w:t>
      </w:r>
      <w:r w:rsidRPr="0001200D">
        <w:rPr>
          <w:i/>
        </w:rPr>
        <w:t>Journal of the Association for Information Systems</w:t>
      </w:r>
      <w:r w:rsidRPr="0001200D">
        <w:t>,</w:t>
      </w:r>
      <w:r w:rsidRPr="0001200D">
        <w:rPr>
          <w:i/>
        </w:rPr>
        <w:t xml:space="preserve"> 20</w:t>
      </w:r>
      <w:r w:rsidRPr="0001200D">
        <w:t xml:space="preserve">(2), 132-160. </w:t>
      </w:r>
    </w:p>
    <w:p w14:paraId="0280E1AF" w14:textId="7EDF61DF" w:rsidR="003E5B95" w:rsidRPr="0001200D" w:rsidRDefault="003E5B95" w:rsidP="003E5B95">
      <w:pPr>
        <w:pStyle w:val="EndNoteBibliography"/>
        <w:spacing w:after="240"/>
        <w:ind w:left="720" w:hanging="720"/>
      </w:pPr>
      <w:r w:rsidRPr="0001200D">
        <w:t>Sykes, T. A., Venkatesh, V., &amp; Gosain, S. (2009). Model of Acceptance with Peer Support: A Social Network Perspective to Understand Employees' System Use</w:t>
      </w:r>
      <w:r>
        <w:t xml:space="preserve">. </w:t>
      </w:r>
      <w:r w:rsidRPr="0001200D">
        <w:rPr>
          <w:i/>
        </w:rPr>
        <w:t>MIS Quarterly</w:t>
      </w:r>
      <w:r w:rsidRPr="0001200D">
        <w:t>,</w:t>
      </w:r>
      <w:r w:rsidRPr="0001200D">
        <w:rPr>
          <w:i/>
        </w:rPr>
        <w:t xml:space="preserve"> 33</w:t>
      </w:r>
      <w:r w:rsidRPr="0001200D">
        <w:t xml:space="preserve">(2), 371. </w:t>
      </w:r>
      <w:r w:rsidRPr="003E5B95">
        <w:t>https://doi.org/10.2307/20650296</w:t>
      </w:r>
      <w:r w:rsidRPr="0001200D">
        <w:t xml:space="preserve"> </w:t>
      </w:r>
    </w:p>
    <w:p w14:paraId="255EA27C" w14:textId="77777777" w:rsidR="003E5B95" w:rsidRPr="0001200D" w:rsidRDefault="003E5B95" w:rsidP="003E5B95">
      <w:pPr>
        <w:pStyle w:val="EndNoteBibliography"/>
        <w:spacing w:after="240"/>
        <w:ind w:left="720" w:hanging="720"/>
      </w:pPr>
      <w:r w:rsidRPr="0001200D">
        <w:t xml:space="preserve">Tams, S., Ahuja, M., Thatcher, J., &amp; Grover, V. (2020). Worker stress in the age of mobile technology: The combined effects of perceived interruption overload and worker control. </w:t>
      </w:r>
      <w:r w:rsidRPr="0001200D">
        <w:rPr>
          <w:i/>
        </w:rPr>
        <w:t>The Journal of Strategic Information Systems</w:t>
      </w:r>
      <w:r w:rsidRPr="0001200D">
        <w:t>,</w:t>
      </w:r>
      <w:r w:rsidRPr="0001200D">
        <w:rPr>
          <w:i/>
        </w:rPr>
        <w:t xml:space="preserve"> 29</w:t>
      </w:r>
      <w:r w:rsidRPr="0001200D">
        <w:t xml:space="preserve">(1), 101595. </w:t>
      </w:r>
    </w:p>
    <w:p w14:paraId="3A8C3376" w14:textId="24DA471B" w:rsidR="003E5B95" w:rsidRPr="0001200D" w:rsidRDefault="003E5B95" w:rsidP="003E5B95">
      <w:pPr>
        <w:pStyle w:val="EndNoteBibliography"/>
        <w:spacing w:after="240"/>
        <w:ind w:left="720" w:hanging="720"/>
      </w:pPr>
      <w:r w:rsidRPr="0001200D">
        <w:t xml:space="preserve">Tams, S., Grover, V., Thatcher, J., &amp; Ahuja, M. (2017). When modern technologies meet ageing workforces: Older workers are more affected by demands from mobile interruptions than their younger counterparts. Proceedings of the 50th Hawaii International Conference on System Sciences, </w:t>
      </w:r>
      <w:r w:rsidR="00861A93">
        <w:t>Hawaii</w:t>
      </w:r>
    </w:p>
    <w:p w14:paraId="2F9EFA21" w14:textId="48C68B6D" w:rsidR="003E5B95" w:rsidRPr="0001200D" w:rsidRDefault="003E5B95" w:rsidP="003E5B95">
      <w:pPr>
        <w:pStyle w:val="EndNoteBibliography"/>
        <w:spacing w:after="240"/>
        <w:ind w:left="720" w:hanging="720"/>
      </w:pPr>
      <w:r w:rsidRPr="0001200D">
        <w:t xml:space="preserve">Tams, S., Hill, K., de Guinea, A. O., Thatcher, J., &amp; Grover, V. (2014). NeuroIS—Alternative or Complement to Existing Methods? Illustrating the Holistic Effects of Neuroscience and Self-Reported Data in the Context of Technostress Research. </w:t>
      </w:r>
      <w:r w:rsidRPr="0001200D">
        <w:rPr>
          <w:i/>
        </w:rPr>
        <w:t>Journal of the Association for Information Systems</w:t>
      </w:r>
      <w:r w:rsidRPr="0001200D">
        <w:t>,</w:t>
      </w:r>
      <w:r w:rsidRPr="0001200D">
        <w:rPr>
          <w:i/>
        </w:rPr>
        <w:t xml:space="preserve"> 15</w:t>
      </w:r>
      <w:r w:rsidRPr="0001200D">
        <w:t xml:space="preserve">(10), 723-753. </w:t>
      </w:r>
    </w:p>
    <w:p w14:paraId="00EE89AD" w14:textId="0B802DDD" w:rsidR="003E5B95" w:rsidRPr="0001200D" w:rsidRDefault="003E5B95" w:rsidP="003E5B95">
      <w:pPr>
        <w:pStyle w:val="EndNoteBibliography"/>
        <w:spacing w:after="240"/>
        <w:ind w:left="720" w:hanging="720"/>
      </w:pPr>
      <w:r w:rsidRPr="0001200D">
        <w:t xml:space="preserve">Tams, S., Legoux, R., &amp; Léger, P.-M. (2018). Smartphone withdrawal creates stress: A moderated mediation model of nomophobia, social threat, and phone withdrawal context. </w:t>
      </w:r>
      <w:r w:rsidRPr="0001200D">
        <w:rPr>
          <w:i/>
        </w:rPr>
        <w:t>Computers in Human Behavior</w:t>
      </w:r>
      <w:r w:rsidRPr="0001200D">
        <w:t>,</w:t>
      </w:r>
      <w:r w:rsidRPr="0001200D">
        <w:rPr>
          <w:i/>
        </w:rPr>
        <w:t xml:space="preserve"> 81</w:t>
      </w:r>
      <w:r w:rsidRPr="0001200D">
        <w:t xml:space="preserve">, 1-9. </w:t>
      </w:r>
      <w:r w:rsidRPr="003E5B95">
        <w:t>https://doi.org/10.1016/j.chb.2017.11.026</w:t>
      </w:r>
      <w:r w:rsidRPr="0001200D">
        <w:t xml:space="preserve"> </w:t>
      </w:r>
    </w:p>
    <w:p w14:paraId="5A24627A" w14:textId="30E1D038" w:rsidR="003E5B95" w:rsidRPr="0001200D" w:rsidRDefault="003E5B95" w:rsidP="003E5B95">
      <w:pPr>
        <w:pStyle w:val="EndNoteBibliography"/>
        <w:spacing w:after="240"/>
        <w:ind w:left="720" w:hanging="720"/>
      </w:pPr>
      <w:r w:rsidRPr="0001200D">
        <w:t xml:space="preserve">Tams, S., Thatcher, J. B., &amp; Grover, V. (2018). Concentration, Competence, Confidence, and Capture: An Experimental Study of Age, Interruption-based Technostress, and Task Performance. </w:t>
      </w:r>
      <w:r w:rsidRPr="0001200D">
        <w:rPr>
          <w:i/>
        </w:rPr>
        <w:t>Journal of the Association for Information Systems</w:t>
      </w:r>
      <w:r w:rsidRPr="0001200D">
        <w:t>,</w:t>
      </w:r>
      <w:r w:rsidRPr="0001200D">
        <w:rPr>
          <w:i/>
        </w:rPr>
        <w:t xml:space="preserve"> 19</w:t>
      </w:r>
      <w:r w:rsidRPr="0001200D">
        <w:t xml:space="preserve">(9), 857-908. </w:t>
      </w:r>
      <w:r w:rsidRPr="003E5B95">
        <w:t>https://doi.org/10.17705/1jais.00511</w:t>
      </w:r>
      <w:r w:rsidRPr="0001200D">
        <w:t xml:space="preserve"> </w:t>
      </w:r>
    </w:p>
    <w:p w14:paraId="40E2B7BD" w14:textId="77777777" w:rsidR="003E5B95" w:rsidRPr="0001200D" w:rsidRDefault="003E5B95" w:rsidP="003E5B95">
      <w:pPr>
        <w:pStyle w:val="EndNoteBibliography"/>
        <w:spacing w:after="240"/>
        <w:ind w:left="720" w:hanging="720"/>
      </w:pPr>
      <w:r w:rsidRPr="0001200D">
        <w:t xml:space="preserve">Tarafdar, M., Cooper, C. L., &amp; Stich, J. F. (2017). The technostress trifecta‐techno eustress, techno distress and design: Theoretical directions and an agenda for research. </w:t>
      </w:r>
      <w:r w:rsidRPr="0001200D">
        <w:rPr>
          <w:i/>
        </w:rPr>
        <w:t>Information Systems Journal</w:t>
      </w:r>
      <w:r w:rsidRPr="0001200D">
        <w:t>,</w:t>
      </w:r>
      <w:r w:rsidRPr="0001200D">
        <w:rPr>
          <w:i/>
        </w:rPr>
        <w:t xml:space="preserve"> 29</w:t>
      </w:r>
      <w:r w:rsidRPr="0001200D">
        <w:t xml:space="preserve">(1), 6-42. </w:t>
      </w:r>
    </w:p>
    <w:p w14:paraId="54AFB5A9" w14:textId="23DBD0BC" w:rsidR="003E5B95" w:rsidRPr="0001200D" w:rsidRDefault="003E5B95" w:rsidP="003E5B95">
      <w:pPr>
        <w:pStyle w:val="EndNoteBibliography"/>
        <w:spacing w:after="240"/>
        <w:ind w:left="720" w:hanging="720"/>
      </w:pPr>
      <w:r w:rsidRPr="0001200D">
        <w:t xml:space="preserve">Tarafdar, M., Gupta, A., &amp; Turel, O. (2015). Special issue on 'dark side of information technology use': an introduction and a framework for research. </w:t>
      </w:r>
      <w:r w:rsidRPr="0001200D">
        <w:rPr>
          <w:i/>
        </w:rPr>
        <w:t>Information Systems Journal</w:t>
      </w:r>
      <w:r w:rsidRPr="0001200D">
        <w:t>,</w:t>
      </w:r>
      <w:r w:rsidRPr="0001200D">
        <w:rPr>
          <w:i/>
        </w:rPr>
        <w:t xml:space="preserve"> 25</w:t>
      </w:r>
      <w:r w:rsidRPr="0001200D">
        <w:t xml:space="preserve">(3), 161-170. </w:t>
      </w:r>
      <w:r w:rsidRPr="003E5B95">
        <w:t>https://doi.org/10.1111/isj.12076</w:t>
      </w:r>
      <w:r w:rsidRPr="0001200D">
        <w:t xml:space="preserve"> </w:t>
      </w:r>
    </w:p>
    <w:p w14:paraId="73D8F2BA" w14:textId="77777777" w:rsidR="003E5B95" w:rsidRPr="0001200D" w:rsidRDefault="003E5B95" w:rsidP="003E5B95">
      <w:pPr>
        <w:pStyle w:val="EndNoteBibliography"/>
        <w:spacing w:after="240"/>
        <w:ind w:left="720" w:hanging="720"/>
      </w:pPr>
      <w:r w:rsidRPr="0001200D">
        <w:t xml:space="preserve">Tarafdar, M., Pullins, E. B., &amp; Ragu‐Nathan, T. (2015). Technostress: negative effect on performance and possible mitigations. </w:t>
      </w:r>
      <w:r w:rsidRPr="0001200D">
        <w:rPr>
          <w:i/>
        </w:rPr>
        <w:t>Information Systems Journal 25</w:t>
      </w:r>
      <w:r w:rsidRPr="0001200D">
        <w:t xml:space="preserve">(2), 103-132. </w:t>
      </w:r>
    </w:p>
    <w:p w14:paraId="64E4BDB5" w14:textId="77777777" w:rsidR="003E5B95" w:rsidRPr="0001200D" w:rsidRDefault="003E5B95" w:rsidP="003E5B95">
      <w:pPr>
        <w:pStyle w:val="EndNoteBibliography"/>
        <w:spacing w:after="240"/>
        <w:ind w:left="720" w:hanging="720"/>
      </w:pPr>
      <w:r w:rsidRPr="0001200D">
        <w:lastRenderedPageBreak/>
        <w:t xml:space="preserve">Tarafdar, M., Tu, Q., Ragu-Nathan, B. S., &amp; Ragu-Nathan, T. (2007). The impact of technostress on role stress and productivity. </w:t>
      </w:r>
      <w:r w:rsidRPr="0001200D">
        <w:rPr>
          <w:i/>
        </w:rPr>
        <w:t>Journal of Management Information Systems</w:t>
      </w:r>
      <w:r w:rsidRPr="0001200D">
        <w:t>,</w:t>
      </w:r>
      <w:r w:rsidRPr="0001200D">
        <w:rPr>
          <w:i/>
        </w:rPr>
        <w:t xml:space="preserve"> 24</w:t>
      </w:r>
      <w:r w:rsidRPr="0001200D">
        <w:t xml:space="preserve">(1), 301-328. </w:t>
      </w:r>
    </w:p>
    <w:p w14:paraId="364EB793" w14:textId="77777777" w:rsidR="003E5B95" w:rsidRPr="0001200D" w:rsidRDefault="003E5B95" w:rsidP="003E5B95">
      <w:pPr>
        <w:pStyle w:val="EndNoteBibliography"/>
        <w:spacing w:after="240"/>
        <w:ind w:left="720" w:hanging="720"/>
      </w:pPr>
      <w:r w:rsidRPr="0001200D">
        <w:t xml:space="preserve">Tarafdar, M., Tu, Q., &amp; Ragu-Nathan, T. (2010). Impact of technostress on end-user satisfaction and performance. </w:t>
      </w:r>
      <w:r w:rsidRPr="0001200D">
        <w:rPr>
          <w:i/>
        </w:rPr>
        <w:t>Jounral of Management Information Systems</w:t>
      </w:r>
      <w:r w:rsidRPr="0001200D">
        <w:t>,</w:t>
      </w:r>
      <w:r w:rsidRPr="0001200D">
        <w:rPr>
          <w:i/>
        </w:rPr>
        <w:t xml:space="preserve"> 27</w:t>
      </w:r>
      <w:r w:rsidRPr="0001200D">
        <w:t xml:space="preserve">(3), 303-334. </w:t>
      </w:r>
    </w:p>
    <w:p w14:paraId="04E54EAF" w14:textId="77777777" w:rsidR="003E5B95" w:rsidRPr="0001200D" w:rsidRDefault="003E5B95" w:rsidP="003E5B95">
      <w:pPr>
        <w:pStyle w:val="EndNoteBibliography"/>
        <w:spacing w:after="240"/>
        <w:ind w:left="720" w:hanging="720"/>
      </w:pPr>
      <w:r w:rsidRPr="0001200D">
        <w:t xml:space="preserve">Thatcher, J. B., Stepina, L. P., &amp; Boyle, R. J. (2002). Turnover of information technology workers: Examining empirically the influence of attitudes, job characteristics, and external markets. </w:t>
      </w:r>
      <w:r w:rsidRPr="0001200D">
        <w:rPr>
          <w:i/>
        </w:rPr>
        <w:t>Journal of Management Information Systems</w:t>
      </w:r>
      <w:r w:rsidRPr="0001200D">
        <w:t>,</w:t>
      </w:r>
      <w:r w:rsidRPr="0001200D">
        <w:rPr>
          <w:i/>
        </w:rPr>
        <w:t xml:space="preserve"> 19</w:t>
      </w:r>
      <w:r w:rsidRPr="0001200D">
        <w:t xml:space="preserve">(3), 231-261. </w:t>
      </w:r>
    </w:p>
    <w:p w14:paraId="6C083F9A" w14:textId="45CF5AD4" w:rsidR="003E5B95" w:rsidRPr="0001200D" w:rsidRDefault="003E5B95" w:rsidP="003E5B95">
      <w:pPr>
        <w:pStyle w:val="EndNoteBibliography"/>
        <w:spacing w:after="240"/>
        <w:ind w:left="720" w:hanging="720"/>
      </w:pPr>
      <w:r w:rsidRPr="0001200D">
        <w:t xml:space="preserve">Tobler, N., Colvin, J., &amp; Rawlins, N. W. (2017). Longitudinal Analysis and Coping Model of User Adaptation. </w:t>
      </w:r>
      <w:r w:rsidRPr="0001200D">
        <w:rPr>
          <w:i/>
        </w:rPr>
        <w:t>Journal of Computer Information Systems</w:t>
      </w:r>
      <w:r w:rsidRPr="0001200D">
        <w:t>,</w:t>
      </w:r>
      <w:r w:rsidRPr="0001200D">
        <w:rPr>
          <w:i/>
        </w:rPr>
        <w:t xml:space="preserve"> 57</w:t>
      </w:r>
      <w:r w:rsidRPr="0001200D">
        <w:t xml:space="preserve">(2), 97-105. </w:t>
      </w:r>
      <w:r w:rsidRPr="003E5B95">
        <w:t>https://doi.org/10.1080/08874417.2016.1183415</w:t>
      </w:r>
      <w:r w:rsidRPr="0001200D">
        <w:t xml:space="preserve"> </w:t>
      </w:r>
    </w:p>
    <w:p w14:paraId="137CE159" w14:textId="77777777" w:rsidR="003E5B95" w:rsidRPr="0001200D" w:rsidRDefault="003E5B95" w:rsidP="003E5B95">
      <w:pPr>
        <w:pStyle w:val="EndNoteBibliography"/>
        <w:spacing w:after="240"/>
        <w:ind w:left="720" w:hanging="720"/>
      </w:pPr>
      <w:r w:rsidRPr="0001200D">
        <w:t xml:space="preserve">Tu, Q., Wang, K., &amp; Shu, Q. (2005). Computer-related technostress in China. </w:t>
      </w:r>
      <w:r w:rsidRPr="0001200D">
        <w:rPr>
          <w:i/>
        </w:rPr>
        <w:t>Communications of the ACM</w:t>
      </w:r>
      <w:r w:rsidRPr="0001200D">
        <w:t>,</w:t>
      </w:r>
      <w:r w:rsidRPr="0001200D">
        <w:rPr>
          <w:i/>
        </w:rPr>
        <w:t xml:space="preserve"> 48</w:t>
      </w:r>
      <w:r w:rsidRPr="0001200D">
        <w:t xml:space="preserve">(4), 77-81. </w:t>
      </w:r>
    </w:p>
    <w:p w14:paraId="38DDC41C" w14:textId="11D3ACB0" w:rsidR="003E5B95" w:rsidRPr="0001200D" w:rsidRDefault="003E5B95" w:rsidP="003E5B95">
      <w:pPr>
        <w:pStyle w:val="EndNoteBibliography"/>
        <w:spacing w:after="240"/>
        <w:ind w:left="720" w:hanging="720"/>
      </w:pPr>
      <w:r w:rsidRPr="0001200D">
        <w:t xml:space="preserve">Vance, A., Anderson, B. B., Kirwan, C. B., &amp; Eargle, D. (2014). Using measures of risk perception to predict information security behavior: Insights from electroencephalography (EEG). </w:t>
      </w:r>
      <w:r w:rsidRPr="0001200D">
        <w:rPr>
          <w:i/>
        </w:rPr>
        <w:t>Journal of the Association for Information Systems</w:t>
      </w:r>
      <w:r w:rsidRPr="0001200D">
        <w:t>,</w:t>
      </w:r>
      <w:r w:rsidRPr="0001200D">
        <w:rPr>
          <w:i/>
        </w:rPr>
        <w:t xml:space="preserve"> 15</w:t>
      </w:r>
      <w:r w:rsidRPr="0001200D">
        <w:t xml:space="preserve">(10), </w:t>
      </w:r>
      <w:r w:rsidR="00E16C46">
        <w:t>679-722.</w:t>
      </w:r>
    </w:p>
    <w:p w14:paraId="2EB94987" w14:textId="5A4809EB" w:rsidR="003E5B95" w:rsidRPr="0001200D" w:rsidRDefault="003E5B95" w:rsidP="003E5B95">
      <w:pPr>
        <w:pStyle w:val="EndNoteBibliography"/>
        <w:spacing w:after="240"/>
        <w:ind w:left="720" w:hanging="720"/>
      </w:pPr>
      <w:r w:rsidRPr="0001200D">
        <w:t xml:space="preserve">Venkatesh, V., Rai, A., &amp; Maruping, L. M. (2018). Information Systems Projects and Individual Developer Outcomes: Role of Project Managers and Process Control. </w:t>
      </w:r>
      <w:r w:rsidRPr="0001200D">
        <w:rPr>
          <w:i/>
        </w:rPr>
        <w:t>Information Systems Research</w:t>
      </w:r>
      <w:r w:rsidRPr="0001200D">
        <w:t>,</w:t>
      </w:r>
      <w:r w:rsidRPr="0001200D">
        <w:rPr>
          <w:i/>
        </w:rPr>
        <w:t xml:space="preserve"> 29</w:t>
      </w:r>
      <w:r w:rsidRPr="0001200D">
        <w:t xml:space="preserve">(1), 127-148. </w:t>
      </w:r>
      <w:r w:rsidRPr="003E5B95">
        <w:t>https://doi.org/10.1287/isre.2017.0723</w:t>
      </w:r>
      <w:r w:rsidRPr="0001200D">
        <w:t xml:space="preserve"> </w:t>
      </w:r>
    </w:p>
    <w:p w14:paraId="15469457" w14:textId="2A38AFCF" w:rsidR="003E5B95" w:rsidRPr="0001200D" w:rsidRDefault="003E5B95" w:rsidP="003E5B95">
      <w:pPr>
        <w:pStyle w:val="EndNoteBibliography"/>
        <w:spacing w:after="240"/>
        <w:ind w:left="720" w:hanging="720"/>
      </w:pPr>
      <w:r w:rsidRPr="0001200D">
        <w:t xml:space="preserve">Vom Brocke, J., Simons, A., Riemer, K., Niehaves, B., Plattfaut, R., &amp; Cleven, A. (2015). Standing on the shoulders of giants: Challenges and recommendations of literature search in information systems research. </w:t>
      </w:r>
      <w:r w:rsidRPr="0001200D">
        <w:rPr>
          <w:i/>
        </w:rPr>
        <w:t>Communications of the Association for Information Systems</w:t>
      </w:r>
      <w:r w:rsidRPr="0001200D">
        <w:t>,</w:t>
      </w:r>
      <w:r w:rsidRPr="0001200D">
        <w:rPr>
          <w:i/>
        </w:rPr>
        <w:t xml:space="preserve"> 37</w:t>
      </w:r>
      <w:r w:rsidRPr="0001200D">
        <w:t xml:space="preserve">(1), </w:t>
      </w:r>
      <w:r w:rsidR="00E16C46">
        <w:t>205-224</w:t>
      </w:r>
      <w:r w:rsidRPr="0001200D">
        <w:t xml:space="preserve">. </w:t>
      </w:r>
    </w:p>
    <w:p w14:paraId="4FB58E58" w14:textId="52D47F77" w:rsidR="003E5B95" w:rsidRPr="0001200D" w:rsidRDefault="003E5B95" w:rsidP="003E5B95">
      <w:pPr>
        <w:pStyle w:val="EndNoteBibliography"/>
        <w:spacing w:after="240"/>
        <w:ind w:left="720" w:hanging="720"/>
      </w:pPr>
      <w:r w:rsidRPr="0001200D">
        <w:t xml:space="preserve">Wang, J., Li, Y., &amp; Rao, H. R. (2017). Coping Responses in Phishing Detection: An Investigation of Antecedents and Consequences. </w:t>
      </w:r>
      <w:r w:rsidRPr="0001200D">
        <w:rPr>
          <w:i/>
        </w:rPr>
        <w:t>Information Systems Research</w:t>
      </w:r>
      <w:r w:rsidRPr="0001200D">
        <w:t>,</w:t>
      </w:r>
      <w:r w:rsidRPr="0001200D">
        <w:rPr>
          <w:i/>
        </w:rPr>
        <w:t xml:space="preserve"> 28</w:t>
      </w:r>
      <w:r w:rsidRPr="0001200D">
        <w:t xml:space="preserve">(2), 378-396. </w:t>
      </w:r>
      <w:r w:rsidRPr="003E5B95">
        <w:t>https://doi.org/10.1287/isre.2016.0680</w:t>
      </w:r>
      <w:r w:rsidRPr="0001200D">
        <w:t xml:space="preserve"> </w:t>
      </w:r>
    </w:p>
    <w:p w14:paraId="03229D6A" w14:textId="77777777" w:rsidR="003E5B95" w:rsidRPr="0001200D" w:rsidRDefault="003E5B95" w:rsidP="003E5B95">
      <w:pPr>
        <w:pStyle w:val="EndNoteBibliography"/>
        <w:spacing w:after="240"/>
        <w:ind w:left="720" w:hanging="720"/>
      </w:pPr>
      <w:r w:rsidRPr="0001200D">
        <w:t xml:space="preserve">Wang, K., Shu, Q., &amp; Tu, Q. (2008). Technostress under different organizational environments: An empirical investigation. </w:t>
      </w:r>
      <w:r w:rsidRPr="0001200D">
        <w:rPr>
          <w:i/>
        </w:rPr>
        <w:t>Computers in Human Behavior</w:t>
      </w:r>
      <w:r w:rsidRPr="0001200D">
        <w:t>,</w:t>
      </w:r>
      <w:r w:rsidRPr="0001200D">
        <w:rPr>
          <w:i/>
        </w:rPr>
        <w:t xml:space="preserve"> 24</w:t>
      </w:r>
      <w:r w:rsidRPr="0001200D">
        <w:t xml:space="preserve">(6), 3002-3013. </w:t>
      </w:r>
    </w:p>
    <w:p w14:paraId="61FD9E02" w14:textId="43C07391" w:rsidR="003E5B95" w:rsidRPr="0001200D" w:rsidRDefault="003E5B95" w:rsidP="003E5B95">
      <w:pPr>
        <w:pStyle w:val="EndNoteBibliography"/>
        <w:spacing w:after="240"/>
        <w:ind w:left="720" w:hanging="720"/>
      </w:pPr>
      <w:r w:rsidRPr="0001200D">
        <w:t xml:space="preserve">Wang, X., Tan, S. C., &amp; Li, L. (2020). Technostress in university students’ technology-enhanced learning: An investigation from multidimensional person-environment misfit. </w:t>
      </w:r>
      <w:r w:rsidRPr="0001200D">
        <w:rPr>
          <w:i/>
        </w:rPr>
        <w:t>Computers in Human Behavior</w:t>
      </w:r>
      <w:r w:rsidRPr="0001200D">
        <w:t>,</w:t>
      </w:r>
      <w:r w:rsidRPr="0001200D">
        <w:rPr>
          <w:i/>
        </w:rPr>
        <w:t xml:space="preserve"> 105</w:t>
      </w:r>
      <w:r w:rsidRPr="0001200D">
        <w:t xml:space="preserve">, 106208. </w:t>
      </w:r>
      <w:r w:rsidRPr="003E5B95">
        <w:t>https://doi.org/10.1016/j.chb.2019.106208</w:t>
      </w:r>
      <w:r w:rsidRPr="0001200D">
        <w:t xml:space="preserve"> </w:t>
      </w:r>
    </w:p>
    <w:p w14:paraId="59A39CE7" w14:textId="03DFAD51" w:rsidR="003E5B95" w:rsidRPr="0001200D" w:rsidRDefault="003E5B95" w:rsidP="003E5B95">
      <w:pPr>
        <w:pStyle w:val="EndNoteBibliography"/>
        <w:spacing w:after="240"/>
        <w:ind w:left="720" w:hanging="720"/>
      </w:pPr>
      <w:r w:rsidRPr="0001200D">
        <w:t xml:space="preserve">Warkentin, M., Walden, E., Johnston, A. C., &amp; Straub, D. W. (2016). Neural Correlates of Protection Motivation for Secure IT Behaviors: An fMRI Examination. </w:t>
      </w:r>
      <w:r w:rsidRPr="0001200D">
        <w:rPr>
          <w:i/>
        </w:rPr>
        <w:t>Journal of the Association for Information Systems</w:t>
      </w:r>
      <w:r w:rsidRPr="0001200D">
        <w:t>,</w:t>
      </w:r>
      <w:r w:rsidRPr="0001200D">
        <w:rPr>
          <w:i/>
        </w:rPr>
        <w:t xml:space="preserve"> 17</w:t>
      </w:r>
      <w:r w:rsidRPr="0001200D">
        <w:t xml:space="preserve">(3), 194-215. </w:t>
      </w:r>
    </w:p>
    <w:p w14:paraId="74C72328" w14:textId="77777777" w:rsidR="003E5B95" w:rsidRPr="0001200D" w:rsidRDefault="003E5B95" w:rsidP="003E5B95">
      <w:pPr>
        <w:pStyle w:val="EndNoteBibliography"/>
        <w:spacing w:after="240"/>
        <w:ind w:left="720" w:hanging="720"/>
      </w:pPr>
      <w:r w:rsidRPr="0001200D">
        <w:lastRenderedPageBreak/>
        <w:t xml:space="preserve">Webster, J., &amp; Watson, R. T. (2002). Analyzing the past to prepare for the future: Writing a literature review. </w:t>
      </w:r>
      <w:r w:rsidRPr="0001200D">
        <w:rPr>
          <w:i/>
        </w:rPr>
        <w:t>MIS Quarterly</w:t>
      </w:r>
      <w:r w:rsidRPr="0001200D">
        <w:t>,</w:t>
      </w:r>
      <w:r w:rsidRPr="0001200D">
        <w:rPr>
          <w:i/>
        </w:rPr>
        <w:t xml:space="preserve"> 26</w:t>
      </w:r>
      <w:r w:rsidRPr="0001200D">
        <w:t xml:space="preserve">(2), xiii-xxiii. </w:t>
      </w:r>
    </w:p>
    <w:p w14:paraId="169C9C30" w14:textId="77777777" w:rsidR="003E5B95" w:rsidRPr="0001200D" w:rsidRDefault="003E5B95" w:rsidP="003E5B95">
      <w:pPr>
        <w:pStyle w:val="EndNoteBibliography"/>
        <w:spacing w:after="240"/>
        <w:ind w:left="720" w:hanging="720"/>
      </w:pPr>
      <w:r w:rsidRPr="0001200D">
        <w:t xml:space="preserve">Weiss, M. (1983). Effects of work stress and social support on information systems managers. </w:t>
      </w:r>
      <w:r w:rsidRPr="0001200D">
        <w:rPr>
          <w:i/>
        </w:rPr>
        <w:t>MIS Quarterly</w:t>
      </w:r>
      <w:r w:rsidRPr="0001200D">
        <w:t>,</w:t>
      </w:r>
      <w:r w:rsidRPr="0001200D">
        <w:rPr>
          <w:i/>
        </w:rPr>
        <w:t xml:space="preserve"> 7</w:t>
      </w:r>
      <w:r w:rsidRPr="0001200D">
        <w:t xml:space="preserve">, 29-43. </w:t>
      </w:r>
    </w:p>
    <w:p w14:paraId="11208B39" w14:textId="3A4292EF" w:rsidR="003E5B95" w:rsidRPr="0001200D" w:rsidRDefault="003E5B95" w:rsidP="003E5B95">
      <w:pPr>
        <w:pStyle w:val="EndNoteBibliography"/>
        <w:spacing w:after="240"/>
        <w:ind w:left="720" w:hanging="720"/>
      </w:pPr>
      <w:r w:rsidRPr="0001200D">
        <w:t xml:space="preserve">Windeler, J. B., Maruping, L., &amp; Venkatesh, V. (2017). Technical Systems Development Risk Factors: The Role of Empowering Leadership in Lowering Developers' Stress. </w:t>
      </w:r>
      <w:r w:rsidRPr="0001200D">
        <w:rPr>
          <w:i/>
        </w:rPr>
        <w:t>Information Systems Research</w:t>
      </w:r>
      <w:r w:rsidRPr="0001200D">
        <w:t>,</w:t>
      </w:r>
      <w:r w:rsidRPr="0001200D">
        <w:rPr>
          <w:i/>
        </w:rPr>
        <w:t xml:space="preserve"> 28</w:t>
      </w:r>
      <w:r w:rsidRPr="0001200D">
        <w:t xml:space="preserve">(4), 775-796. </w:t>
      </w:r>
      <w:r w:rsidRPr="003E5B95">
        <w:t>https://doi.org/10.1287/isre.2017.0716</w:t>
      </w:r>
      <w:r w:rsidRPr="0001200D">
        <w:t xml:space="preserve"> </w:t>
      </w:r>
    </w:p>
    <w:p w14:paraId="2889BC83" w14:textId="77777777" w:rsidR="003E5B95" w:rsidRPr="0001200D" w:rsidRDefault="003E5B95" w:rsidP="003E5B95">
      <w:pPr>
        <w:pStyle w:val="EndNoteBibliography"/>
        <w:spacing w:after="240"/>
        <w:ind w:left="720" w:hanging="720"/>
      </w:pPr>
      <w:r w:rsidRPr="0001200D">
        <w:t xml:space="preserve">Wolff, J. (2019, 12/23/2019). </w:t>
      </w:r>
      <w:r w:rsidRPr="0001200D">
        <w:rPr>
          <w:i/>
        </w:rPr>
        <w:t>Cybersecurity Experts Are Leaving the Federal Government. That's a Problem</w:t>
      </w:r>
      <w:r w:rsidRPr="0001200D">
        <w:t xml:space="preserve">. Retrieved 5 March, 2020 from </w:t>
      </w:r>
      <w:r w:rsidRPr="003E5B95">
        <w:t>https://link.gale.com/apps/doc/A609461957/GIC?u=tusc49521&amp;sid=GIC&amp;xid=fb0172e3</w:t>
      </w:r>
    </w:p>
    <w:p w14:paraId="4711A6E9" w14:textId="12909BBC" w:rsidR="003E5B95" w:rsidRPr="0001200D" w:rsidRDefault="003E5B95" w:rsidP="003E5B95">
      <w:pPr>
        <w:pStyle w:val="EndNoteBibliography"/>
        <w:spacing w:after="240"/>
        <w:ind w:left="720" w:hanging="720"/>
      </w:pPr>
      <w:r w:rsidRPr="0001200D">
        <w:t xml:space="preserve">Yu, L., Cao, X., Liu, Z., &amp; Wang, J. (2018). Excessive social media use at work. </w:t>
      </w:r>
      <w:r w:rsidRPr="0001200D">
        <w:rPr>
          <w:i/>
        </w:rPr>
        <w:t>Information Technology &amp; People</w:t>
      </w:r>
      <w:r w:rsidRPr="0001200D">
        <w:t>,</w:t>
      </w:r>
      <w:r w:rsidRPr="0001200D">
        <w:rPr>
          <w:i/>
        </w:rPr>
        <w:t xml:space="preserve"> 31</w:t>
      </w:r>
      <w:r w:rsidRPr="0001200D">
        <w:t xml:space="preserve">(6), 1091-1112. </w:t>
      </w:r>
      <w:r w:rsidRPr="003E5B95">
        <w:t>https://doi.org/10.1108/ITP-10-2016-0237</w:t>
      </w:r>
      <w:r w:rsidRPr="0001200D">
        <w:t xml:space="preserve"> </w:t>
      </w:r>
    </w:p>
    <w:p w14:paraId="0B3D10C4" w14:textId="77777777" w:rsidR="003E5B95" w:rsidRPr="0001200D" w:rsidRDefault="003E5B95" w:rsidP="003E5B95">
      <w:pPr>
        <w:pStyle w:val="EndNoteBibliography"/>
        <w:spacing w:after="240"/>
        <w:ind w:left="720" w:hanging="720"/>
      </w:pPr>
      <w:r w:rsidRPr="0001200D">
        <w:t xml:space="preserve">Zhang, Y., LePine, J. A., Buckman, B. R., &amp; Wei, F. (2014). It's not fair… or is it? The role of justice and leadership in explaining work stressor–job performance relationships. </w:t>
      </w:r>
      <w:r w:rsidRPr="0001200D">
        <w:rPr>
          <w:i/>
        </w:rPr>
        <w:t>Academy of Management Journal</w:t>
      </w:r>
      <w:r w:rsidRPr="0001200D">
        <w:t>,</w:t>
      </w:r>
      <w:r w:rsidRPr="0001200D">
        <w:rPr>
          <w:i/>
        </w:rPr>
        <w:t xml:space="preserve"> 57</w:t>
      </w:r>
      <w:r w:rsidRPr="0001200D">
        <w:t xml:space="preserve">(3), 675-697. </w:t>
      </w:r>
    </w:p>
    <w:p w14:paraId="40B8D3B2" w14:textId="6EB18A41" w:rsidR="003E5B95" w:rsidRPr="0001200D" w:rsidRDefault="003E5B95" w:rsidP="003E5B95">
      <w:pPr>
        <w:pStyle w:val="EndNoteBibliography"/>
        <w:ind w:left="720" w:hanging="720"/>
      </w:pPr>
      <w:r w:rsidRPr="0001200D">
        <w:t xml:space="preserve">Zhao, X., Xia, Q., &amp; Huang, W. (2020). Impact of technostress on productivity from the theoretical perspective of appraisal and coping processes. </w:t>
      </w:r>
      <w:r w:rsidRPr="0001200D">
        <w:rPr>
          <w:i/>
        </w:rPr>
        <w:t>Information &amp; Management</w:t>
      </w:r>
      <w:r w:rsidRPr="0001200D">
        <w:t xml:space="preserve">, 103265. </w:t>
      </w:r>
      <w:r w:rsidRPr="003E5B95">
        <w:t>https://doi.org/10.1016/j.im.2020.103265</w:t>
      </w:r>
      <w:r w:rsidRPr="0001200D">
        <w:t xml:space="preserve"> </w:t>
      </w:r>
    </w:p>
    <w:p w14:paraId="0D9E18C0" w14:textId="77777777" w:rsidR="003E5B95" w:rsidRDefault="003E5B95" w:rsidP="003E5B95">
      <w:pPr>
        <w:rPr>
          <w:rFonts w:cs="Times New Roman"/>
          <w:szCs w:val="24"/>
        </w:rPr>
      </w:pPr>
    </w:p>
    <w:p w14:paraId="0528435D" w14:textId="77777777" w:rsidR="003E5B95" w:rsidRDefault="003E5B95" w:rsidP="003E5B95">
      <w:pPr>
        <w:rPr>
          <w:rFonts w:cs="Times New Roman"/>
          <w:szCs w:val="24"/>
        </w:rPr>
        <w:sectPr w:rsidR="003E5B95" w:rsidSect="003E5B95">
          <w:pgSz w:w="12240" w:h="15840"/>
          <w:pgMar w:top="1440" w:right="1440" w:bottom="1440" w:left="1440" w:header="720" w:footer="720" w:gutter="0"/>
          <w:cols w:space="720"/>
          <w:titlePg/>
          <w:docGrid w:linePitch="360"/>
        </w:sectPr>
      </w:pPr>
    </w:p>
    <w:p w14:paraId="74ACF071" w14:textId="77777777" w:rsidR="003E5B95" w:rsidRPr="003C2992" w:rsidRDefault="003E5B95" w:rsidP="003E5B95">
      <w:pPr>
        <w:pStyle w:val="Heading1"/>
        <w:rPr>
          <w:b/>
          <w:bCs/>
        </w:rPr>
      </w:pPr>
      <w:bookmarkStart w:id="145" w:name="_Toc74087517"/>
      <w:bookmarkStart w:id="146" w:name="_Toc74258633"/>
      <w:bookmarkStart w:id="147" w:name="_Toc74045232"/>
      <w:bookmarkEnd w:id="35"/>
      <w:bookmarkEnd w:id="36"/>
      <w:bookmarkEnd w:id="40"/>
      <w:bookmarkEnd w:id="142"/>
      <w:r w:rsidRPr="003C2992">
        <w:rPr>
          <w:b/>
          <w:bCs/>
        </w:rPr>
        <w:lastRenderedPageBreak/>
        <w:t>APPENDIX A: CONCEPTUALIZATION OF STRESS, BURNOUT, AND EXHAUSTION</w:t>
      </w:r>
      <w:bookmarkEnd w:id="145"/>
      <w:bookmarkEnd w:id="146"/>
    </w:p>
    <w:p w14:paraId="29911EF4" w14:textId="77777777" w:rsidR="003E5B95" w:rsidRPr="001D043B" w:rsidRDefault="003E5B95" w:rsidP="003E5B95">
      <w:pPr>
        <w:pStyle w:val="Caption"/>
        <w:keepNext/>
        <w:spacing w:line="480" w:lineRule="auto"/>
        <w:rPr>
          <w:sz w:val="24"/>
          <w:szCs w:val="24"/>
        </w:rPr>
      </w:pPr>
      <w:bookmarkStart w:id="148" w:name="_Toc73955256"/>
      <w:bookmarkStart w:id="149" w:name="_Toc74074414"/>
      <w:bookmarkEnd w:id="147"/>
      <w:r w:rsidRPr="001D043B">
        <w:rPr>
          <w:sz w:val="24"/>
          <w:szCs w:val="24"/>
        </w:rPr>
        <w:t xml:space="preserve">Table </w:t>
      </w:r>
      <w:r>
        <w:rPr>
          <w:sz w:val="24"/>
          <w:szCs w:val="24"/>
        </w:rPr>
        <w:t>A1</w:t>
      </w:r>
      <w:r w:rsidRPr="001D043B">
        <w:rPr>
          <w:sz w:val="24"/>
          <w:szCs w:val="24"/>
        </w:rPr>
        <w:t xml:space="preserve"> </w:t>
      </w:r>
      <w:bookmarkStart w:id="150" w:name="_Toc73917976"/>
    </w:p>
    <w:p w14:paraId="3F5D52E1" w14:textId="2B91FEDB" w:rsidR="003E5B95" w:rsidRPr="001D043B" w:rsidRDefault="003E5B95" w:rsidP="003E5B95">
      <w:pPr>
        <w:pStyle w:val="Caption"/>
        <w:keepNext/>
        <w:spacing w:line="480" w:lineRule="auto"/>
        <w:rPr>
          <w:b w:val="0"/>
          <w:bCs/>
          <w:i/>
          <w:iCs w:val="0"/>
          <w:sz w:val="24"/>
          <w:szCs w:val="24"/>
        </w:rPr>
      </w:pPr>
      <w:r w:rsidRPr="001D043B">
        <w:rPr>
          <w:b w:val="0"/>
          <w:bCs/>
          <w:i/>
          <w:iCs w:val="0"/>
          <w:sz w:val="24"/>
          <w:szCs w:val="24"/>
        </w:rPr>
        <w:t>Summary of Stress, Burnout, and Exhaustion</w:t>
      </w:r>
      <w:bookmarkEnd w:id="148"/>
      <w:bookmarkEnd w:id="149"/>
      <w:bookmarkEnd w:id="150"/>
    </w:p>
    <w:tbl>
      <w:tblPr>
        <w:tblStyle w:val="PlainTable4"/>
        <w:tblW w:w="5000" w:type="pct"/>
        <w:tblBorders>
          <w:top w:val="single" w:sz="4" w:space="0" w:color="auto"/>
          <w:bottom w:val="single" w:sz="4" w:space="0" w:color="auto"/>
        </w:tblBorders>
        <w:tblLook w:val="04A0" w:firstRow="1" w:lastRow="0" w:firstColumn="1" w:lastColumn="0" w:noHBand="0" w:noVBand="1"/>
      </w:tblPr>
      <w:tblGrid>
        <w:gridCol w:w="2078"/>
        <w:gridCol w:w="7282"/>
      </w:tblGrid>
      <w:tr w:rsidR="003E5B95" w:rsidRPr="00FF5174" w14:paraId="7CCAEC90" w14:textId="77777777" w:rsidTr="003E5B95">
        <w:trPr>
          <w:cnfStyle w:val="100000000000" w:firstRow="1" w:lastRow="0" w:firstColumn="0" w:lastColumn="0" w:oddVBand="0" w:evenVBand="0" w:oddHBand="0"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1110" w:type="pct"/>
            <w:tcBorders>
              <w:top w:val="single" w:sz="4" w:space="0" w:color="auto"/>
              <w:bottom w:val="single" w:sz="4" w:space="0" w:color="auto"/>
              <w:right w:val="single" w:sz="4" w:space="0" w:color="auto"/>
            </w:tcBorders>
          </w:tcPr>
          <w:p w14:paraId="7A414C37"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sz w:val="24"/>
                <w:szCs w:val="24"/>
                <w:shd w:val="clear" w:color="auto" w:fill="FFFFFF"/>
              </w:rPr>
              <w:t>Reference</w:t>
            </w:r>
          </w:p>
        </w:tc>
        <w:tc>
          <w:tcPr>
            <w:tcW w:w="3890" w:type="pct"/>
            <w:tcBorders>
              <w:top w:val="single" w:sz="4" w:space="0" w:color="auto"/>
              <w:left w:val="single" w:sz="4" w:space="0" w:color="auto"/>
              <w:bottom w:val="single" w:sz="4" w:space="0" w:color="auto"/>
            </w:tcBorders>
          </w:tcPr>
          <w:p w14:paraId="3615C8F3" w14:textId="77777777" w:rsidR="003E5B95" w:rsidRPr="00FF5174" w:rsidRDefault="003E5B95" w:rsidP="003E5B95">
            <w:pPr>
              <w:pStyle w:val="NoSpacing"/>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sz w:val="24"/>
                <w:szCs w:val="24"/>
                <w:shd w:val="clear" w:color="auto" w:fill="FFFFFF"/>
              </w:rPr>
              <w:t>Conceptualization of stress, burnout, and exhaustion</w:t>
            </w:r>
          </w:p>
        </w:tc>
      </w:tr>
      <w:tr w:rsidR="003E5B95" w:rsidRPr="00FF5174" w14:paraId="671F2967"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top w:val="single" w:sz="4" w:space="0" w:color="auto"/>
              <w:right w:val="single" w:sz="4" w:space="0" w:color="auto"/>
            </w:tcBorders>
          </w:tcPr>
          <w:p w14:paraId="0FE24BCC" w14:textId="77777777" w:rsidR="003E5B95" w:rsidRPr="00FF5174" w:rsidRDefault="003E5B95" w:rsidP="003E5B95">
            <w:pPr>
              <w:spacing w:line="240" w:lineRule="auto"/>
              <w:ind w:firstLine="0"/>
              <w:rPr>
                <w:rFonts w:cs="Times New Roman"/>
                <w:b w:val="0"/>
                <w:bCs w:val="0"/>
                <w:szCs w:val="24"/>
                <w:shd w:val="clear" w:color="auto" w:fill="FFFFFF"/>
              </w:rPr>
            </w:pPr>
            <w:r w:rsidRPr="00FF5174">
              <w:rPr>
                <w:rFonts w:cs="Times New Roman"/>
                <w:b w:val="0"/>
                <w:bCs w:val="0"/>
                <w:color w:val="333333"/>
                <w:szCs w:val="24"/>
              </w:rPr>
              <w:t>Weiss (1983)</w:t>
            </w:r>
          </w:p>
        </w:tc>
        <w:tc>
          <w:tcPr>
            <w:tcW w:w="3890" w:type="pct"/>
            <w:tcBorders>
              <w:top w:val="single" w:sz="4" w:space="0" w:color="auto"/>
              <w:left w:val="single" w:sz="4" w:space="0" w:color="auto"/>
            </w:tcBorders>
          </w:tcPr>
          <w:p w14:paraId="778291C5"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szCs w:val="24"/>
                <w:shd w:val="clear" w:color="auto" w:fill="FFFFFF"/>
              </w:rPr>
            </w:pPr>
            <w:r w:rsidRPr="00FF5174">
              <w:rPr>
                <w:rFonts w:cs="Times New Roman"/>
                <w:color w:val="333333"/>
                <w:szCs w:val="24"/>
              </w:rPr>
              <w:t>Stress is defined as any condition that causes an individual to have a generalized psychophysiological response that deviates from a state of equilibrium.</w:t>
            </w:r>
          </w:p>
        </w:tc>
      </w:tr>
      <w:tr w:rsidR="003E5B95" w:rsidRPr="00FF5174" w14:paraId="0E1BCBE3"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3184318E"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(Li &amp; Shani, 1991, p. 108)</w:t>
            </w:r>
          </w:p>
        </w:tc>
        <w:tc>
          <w:tcPr>
            <w:tcW w:w="3890" w:type="pct"/>
            <w:tcBorders>
              <w:left w:val="single" w:sz="4" w:space="0" w:color="auto"/>
            </w:tcBorders>
          </w:tcPr>
          <w:p w14:paraId="376DE5F5" w14:textId="77777777"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“Stress is viewed as an interaction among the organizational characteristics that appear threatening to human beings and their reactions to the threat as indicated by their overall job satisfaction”.</w:t>
            </w:r>
          </w:p>
        </w:tc>
      </w:tr>
      <w:tr w:rsidR="003E5B95" w:rsidRPr="00FF5174" w14:paraId="6B22BFFD"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5B697BCF" w14:textId="77777777" w:rsidR="003E5B95" w:rsidRPr="00FF5174" w:rsidRDefault="003E5B95" w:rsidP="003E5B95">
            <w:pPr>
              <w:spacing w:line="240" w:lineRule="auto"/>
              <w:ind w:firstLine="0"/>
              <w:rPr>
                <w:rFonts w:cs="Times New Roman"/>
                <w:b w:val="0"/>
                <w:bCs w:val="0"/>
                <w:szCs w:val="24"/>
                <w:shd w:val="clear" w:color="auto" w:fill="FFFFFF"/>
              </w:rPr>
            </w:pPr>
            <w:r w:rsidRPr="00FF5174">
              <w:rPr>
                <w:rFonts w:cs="Times New Roman"/>
                <w:b w:val="0"/>
                <w:bCs w:val="0"/>
                <w:color w:val="333333"/>
                <w:szCs w:val="24"/>
              </w:rPr>
              <w:t>Longenecker et al. (1999)</w:t>
            </w:r>
          </w:p>
        </w:tc>
        <w:tc>
          <w:tcPr>
            <w:tcW w:w="3890" w:type="pct"/>
            <w:tcBorders>
              <w:left w:val="single" w:sz="4" w:space="0" w:color="auto"/>
            </w:tcBorders>
          </w:tcPr>
          <w:p w14:paraId="78BFA4D0"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333333"/>
                <w:szCs w:val="24"/>
              </w:rPr>
            </w:pPr>
            <w:r w:rsidRPr="00FF5174">
              <w:rPr>
                <w:rFonts w:cs="Times New Roman"/>
                <w:color w:val="333333"/>
                <w:szCs w:val="24"/>
              </w:rPr>
              <w:t xml:space="preserve">Stress is the internal state or condition of experiencing strain or extreme pressure from external demands. </w:t>
            </w:r>
          </w:p>
        </w:tc>
      </w:tr>
      <w:tr w:rsidR="003E5B95" w:rsidRPr="00FF5174" w14:paraId="38ACBEB0"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2F2C33A3"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Ann Sykes (2015, p. 477)</w:t>
            </w:r>
          </w:p>
        </w:tc>
        <w:tc>
          <w:tcPr>
            <w:tcW w:w="3890" w:type="pct"/>
            <w:tcBorders>
              <w:left w:val="single" w:sz="4" w:space="0" w:color="auto"/>
            </w:tcBorders>
          </w:tcPr>
          <w:p w14:paraId="4DC5CF41" w14:textId="77777777"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Job stress is defined as “a feeling of a person who is required to deviate from normal or self-desired functioning in the workplace as the result of opportunities, constraints, or demands relating to the potentially important work-related outcomes”.</w:t>
            </w:r>
          </w:p>
        </w:tc>
      </w:tr>
      <w:tr w:rsidR="003E5B95" w:rsidRPr="00FF5174" w14:paraId="3786A008"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561C4A1E" w14:textId="77777777" w:rsidR="003E5B95" w:rsidRPr="00FF5174" w:rsidRDefault="003E5B95" w:rsidP="003E5B95">
            <w:pPr>
              <w:spacing w:line="240" w:lineRule="auto"/>
              <w:ind w:firstLine="0"/>
              <w:rPr>
                <w:rFonts w:cs="Times New Roman"/>
                <w:b w:val="0"/>
                <w:bCs w:val="0"/>
                <w:color w:val="000000"/>
                <w:szCs w:val="24"/>
              </w:rPr>
            </w:pPr>
            <w:proofErr w:type="spellStart"/>
            <w:r w:rsidRPr="00FF5174">
              <w:rPr>
                <w:rFonts w:cs="Times New Roman"/>
                <w:b w:val="0"/>
                <w:bCs w:val="0"/>
                <w:color w:val="000000"/>
                <w:szCs w:val="24"/>
              </w:rPr>
              <w:t>McCormac</w:t>
            </w:r>
            <w:proofErr w:type="spellEnd"/>
            <w:r w:rsidRPr="00FF5174">
              <w:rPr>
                <w:rFonts w:cs="Times New Roman"/>
                <w:b w:val="0"/>
                <w:bCs w:val="0"/>
                <w:color w:val="000000"/>
                <w:szCs w:val="24"/>
              </w:rPr>
              <w:t xml:space="preserve"> et al. (2018)</w:t>
            </w:r>
          </w:p>
        </w:tc>
        <w:tc>
          <w:tcPr>
            <w:tcW w:w="3890" w:type="pct"/>
            <w:tcBorders>
              <w:left w:val="single" w:sz="4" w:space="0" w:color="auto"/>
            </w:tcBorders>
          </w:tcPr>
          <w:p w14:paraId="1654351F"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 xml:space="preserve">Job stress </w:t>
            </w:r>
            <w:bookmarkStart w:id="151" w:name="_Hlk50834337"/>
            <w:r w:rsidRPr="00FF5174">
              <w:rPr>
                <w:rFonts w:cs="Times New Roman"/>
                <w:color w:val="000000"/>
                <w:szCs w:val="24"/>
              </w:rPr>
              <w:t>results when work demands and pressures do not match an individual’s abilities and knowledge, so their ability to cope is affected.</w:t>
            </w:r>
            <w:bookmarkEnd w:id="151"/>
          </w:p>
        </w:tc>
      </w:tr>
      <w:tr w:rsidR="003E5B95" w:rsidRPr="00FF5174" w14:paraId="3BBB3553"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42B62E78"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Moody and Galletta (2015, p. 10)</w:t>
            </w:r>
          </w:p>
        </w:tc>
        <w:tc>
          <w:tcPr>
            <w:tcW w:w="3890" w:type="pct"/>
            <w:tcBorders>
              <w:left w:val="single" w:sz="4" w:space="0" w:color="auto"/>
            </w:tcBorders>
          </w:tcPr>
          <w:p w14:paraId="62218A15" w14:textId="058F4320"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“Stress occurs when an individual experience</w:t>
            </w:r>
            <w:r w:rsidR="00FF5174" w:rsidRPr="00FF5174">
              <w:rPr>
                <w:rFonts w:ascii="Times New Roman" w:hAnsi="Times New Roman" w:cs="Times New Roman"/>
                <w:sz w:val="24"/>
                <w:szCs w:val="24"/>
                <w:shd w:val="clear" w:color="auto" w:fill="FFFFFF"/>
              </w:rPr>
              <w:t>s</w:t>
            </w:r>
            <w:r w:rsidRPr="00FF5174">
              <w:rPr>
                <w:rFonts w:ascii="Times New Roman" w:hAnsi="Times New Roman" w:cs="Times New Roman"/>
                <w:sz w:val="24"/>
                <w:szCs w:val="24"/>
                <w:shd w:val="clear" w:color="auto" w:fill="FFFFFF"/>
              </w:rPr>
              <w:t xml:space="preserve"> a reduction of mental capacity because of conflicting goals, desires, or limitations in </w:t>
            </w:r>
            <w:r w:rsidR="00FF5174" w:rsidRPr="00FF5174">
              <w:rPr>
                <w:rFonts w:ascii="Times New Roman" w:hAnsi="Times New Roman" w:cs="Times New Roman"/>
                <w:sz w:val="24"/>
                <w:szCs w:val="24"/>
                <w:shd w:val="clear" w:color="auto" w:fill="FFFFFF"/>
              </w:rPr>
              <w:t xml:space="preserve">the </w:t>
            </w:r>
            <w:r w:rsidRPr="00FF5174">
              <w:rPr>
                <w:rFonts w:ascii="Times New Roman" w:hAnsi="Times New Roman" w:cs="Times New Roman"/>
                <w:sz w:val="24"/>
                <w:szCs w:val="24"/>
                <w:shd w:val="clear" w:color="auto" w:fill="FFFFFF"/>
              </w:rPr>
              <w:t>cognitive resource”</w:t>
            </w:r>
            <w:r w:rsidR="00FF5174" w:rsidRPr="00FF5174">
              <w:rPr>
                <w:rFonts w:ascii="Times New Roman" w:hAnsi="Times New Roman" w:cs="Times New Roman"/>
                <w:sz w:val="24"/>
                <w:szCs w:val="24"/>
                <w:shd w:val="clear" w:color="auto" w:fill="FFFFFF"/>
              </w:rPr>
              <w:t>.</w:t>
            </w:r>
          </w:p>
        </w:tc>
      </w:tr>
      <w:tr w:rsidR="003E5B95" w:rsidRPr="00FF5174" w14:paraId="52E1A8AD"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17F987FF" w14:textId="77777777" w:rsidR="003E5B95" w:rsidRPr="00FF5174" w:rsidRDefault="003E5B95" w:rsidP="003E5B95">
            <w:pPr>
              <w:spacing w:line="240" w:lineRule="auto"/>
              <w:ind w:firstLine="0"/>
              <w:rPr>
                <w:rFonts w:cs="Times New Roman"/>
                <w:b w:val="0"/>
                <w:bCs w:val="0"/>
                <w:color w:val="000000"/>
                <w:szCs w:val="24"/>
              </w:rPr>
            </w:pPr>
            <w:r w:rsidRPr="00FF5174">
              <w:rPr>
                <w:rFonts w:cs="Times New Roman"/>
                <w:b w:val="0"/>
                <w:bCs w:val="0"/>
                <w:color w:val="000000"/>
                <w:szCs w:val="24"/>
              </w:rPr>
              <w:t>Venkatesh et al. (2018)</w:t>
            </w:r>
          </w:p>
        </w:tc>
        <w:tc>
          <w:tcPr>
            <w:tcW w:w="3890" w:type="pct"/>
            <w:tcBorders>
              <w:left w:val="single" w:sz="4" w:space="0" w:color="auto"/>
            </w:tcBorders>
          </w:tcPr>
          <w:p w14:paraId="5AE3091E"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Psychological stress is defined as anxiety and worry associated with work tasks.</w:t>
            </w:r>
          </w:p>
        </w:tc>
      </w:tr>
      <w:tr w:rsidR="003E5B95" w:rsidRPr="00FF5174" w14:paraId="781DB5E4"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3610DA74"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Adya and Phillips-Wren (2020, p. 716)</w:t>
            </w:r>
          </w:p>
        </w:tc>
        <w:tc>
          <w:tcPr>
            <w:tcW w:w="3890" w:type="pct"/>
            <w:tcBorders>
              <w:left w:val="single" w:sz="4" w:space="0" w:color="auto"/>
            </w:tcBorders>
          </w:tcPr>
          <w:p w14:paraId="3F99534E" w14:textId="5359A349"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 xml:space="preserve">Perceived stress is “a condition or feeling experienced when a person perceives that demands exceed the personal and social resources the individual </w:t>
            </w:r>
            <w:r w:rsidR="00FF5174" w:rsidRPr="00FF5174">
              <w:rPr>
                <w:rFonts w:ascii="Times New Roman" w:hAnsi="Times New Roman" w:cs="Times New Roman"/>
                <w:sz w:val="24"/>
                <w:szCs w:val="24"/>
                <w:shd w:val="clear" w:color="auto" w:fill="FFFFFF"/>
              </w:rPr>
              <w:t>is able to</w:t>
            </w:r>
            <w:r w:rsidRPr="00FF5174">
              <w:rPr>
                <w:rFonts w:ascii="Times New Roman" w:hAnsi="Times New Roman" w:cs="Times New Roman"/>
                <w:sz w:val="24"/>
                <w:szCs w:val="24"/>
                <w:shd w:val="clear" w:color="auto" w:fill="FFFFFF"/>
              </w:rPr>
              <w:t xml:space="preserve"> mobilize”.</w:t>
            </w:r>
          </w:p>
        </w:tc>
      </w:tr>
      <w:tr w:rsidR="003E5B95" w:rsidRPr="00FF5174" w14:paraId="550E761F"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26D7F4E0" w14:textId="77777777" w:rsidR="003E5B95" w:rsidRPr="00FF5174" w:rsidRDefault="003E5B95" w:rsidP="003E5B95">
            <w:pPr>
              <w:spacing w:line="240" w:lineRule="auto"/>
              <w:ind w:firstLine="0"/>
              <w:rPr>
                <w:rFonts w:cs="Times New Roman"/>
                <w:color w:val="000000"/>
                <w:szCs w:val="24"/>
              </w:rPr>
            </w:pPr>
            <w:proofErr w:type="spellStart"/>
            <w:r w:rsidRPr="00FF5174">
              <w:rPr>
                <w:rFonts w:cs="Times New Roman"/>
                <w:b w:val="0"/>
                <w:bCs w:val="0"/>
                <w:color w:val="000000"/>
                <w:szCs w:val="24"/>
              </w:rPr>
              <w:t>Brod</w:t>
            </w:r>
            <w:proofErr w:type="spellEnd"/>
            <w:r w:rsidRPr="00FF5174">
              <w:rPr>
                <w:rFonts w:cs="Times New Roman"/>
                <w:b w:val="0"/>
                <w:bCs w:val="0"/>
                <w:color w:val="000000"/>
                <w:szCs w:val="24"/>
              </w:rPr>
              <w:t xml:space="preserve"> (1982)</w:t>
            </w:r>
          </w:p>
        </w:tc>
        <w:tc>
          <w:tcPr>
            <w:tcW w:w="3890" w:type="pct"/>
            <w:tcBorders>
              <w:left w:val="single" w:sz="4" w:space="0" w:color="auto"/>
            </w:tcBorders>
          </w:tcPr>
          <w:p w14:paraId="45D9F164"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 xml:space="preserve">Technostress is a disease resulting from individuals’ inability to cope with computer technology in a healthy manner. </w:t>
            </w:r>
          </w:p>
        </w:tc>
      </w:tr>
      <w:tr w:rsidR="003E5B95" w:rsidRPr="00FF5174" w14:paraId="3FCB06BD"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26D67993"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Ayyagari et al. (2011)</w:t>
            </w:r>
          </w:p>
        </w:tc>
        <w:tc>
          <w:tcPr>
            <w:tcW w:w="3890" w:type="pct"/>
            <w:tcBorders>
              <w:left w:val="single" w:sz="4" w:space="0" w:color="auto"/>
            </w:tcBorders>
          </w:tcPr>
          <w:p w14:paraId="0D02CEFA" w14:textId="77777777"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Stress is an overall transaction process.</w:t>
            </w:r>
          </w:p>
        </w:tc>
      </w:tr>
      <w:tr w:rsidR="003E5B95" w:rsidRPr="00FF5174" w14:paraId="17A68E9A"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6ACE6A28" w14:textId="77777777" w:rsidR="003E5B95" w:rsidRPr="00FF5174" w:rsidRDefault="003E5B95" w:rsidP="003E5B95">
            <w:pPr>
              <w:spacing w:line="240" w:lineRule="auto"/>
              <w:ind w:firstLine="0"/>
              <w:rPr>
                <w:rFonts w:cs="Times New Roman"/>
                <w:color w:val="000000"/>
                <w:szCs w:val="24"/>
              </w:rPr>
            </w:pPr>
            <w:proofErr w:type="spellStart"/>
            <w:r w:rsidRPr="00FF5174">
              <w:rPr>
                <w:rFonts w:cs="Times New Roman"/>
                <w:b w:val="0"/>
                <w:bCs w:val="0"/>
                <w:color w:val="000000"/>
                <w:szCs w:val="24"/>
              </w:rPr>
              <w:t>Galluch</w:t>
            </w:r>
            <w:proofErr w:type="spellEnd"/>
            <w:r w:rsidRPr="00FF5174">
              <w:rPr>
                <w:rFonts w:cs="Times New Roman"/>
                <w:b w:val="0"/>
                <w:bCs w:val="0"/>
                <w:color w:val="000000"/>
                <w:szCs w:val="24"/>
              </w:rPr>
              <w:t xml:space="preserve"> et al. (2015)</w:t>
            </w:r>
          </w:p>
        </w:tc>
        <w:tc>
          <w:tcPr>
            <w:tcW w:w="3890" w:type="pct"/>
            <w:tcBorders>
              <w:left w:val="single" w:sz="4" w:space="0" w:color="auto"/>
            </w:tcBorders>
          </w:tcPr>
          <w:p w14:paraId="0BCB7725" w14:textId="2709857B"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Stress is the overall transaction process</w:t>
            </w:r>
            <w:r w:rsidR="00FF5174" w:rsidRPr="00FF5174">
              <w:rPr>
                <w:rFonts w:cs="Times New Roman"/>
                <w:color w:val="000000"/>
                <w:szCs w:val="24"/>
              </w:rPr>
              <w:t xml:space="preserve">, </w:t>
            </w:r>
            <w:r w:rsidRPr="00FF5174">
              <w:rPr>
                <w:rFonts w:cs="Times New Roman"/>
                <w:color w:val="000000"/>
                <w:szCs w:val="24"/>
              </w:rPr>
              <w:t xml:space="preserve">whereas perceived stress is defined as the feeling of overload and conflict towards the demand and control in the environment. </w:t>
            </w:r>
          </w:p>
        </w:tc>
      </w:tr>
      <w:tr w:rsidR="003E5B95" w:rsidRPr="00FF5174" w14:paraId="6AA4AD3A"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6BB95A59"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Wang et al. (2020)</w:t>
            </w:r>
          </w:p>
        </w:tc>
        <w:tc>
          <w:tcPr>
            <w:tcW w:w="3890" w:type="pct"/>
            <w:tcBorders>
              <w:left w:val="single" w:sz="4" w:space="0" w:color="auto"/>
            </w:tcBorders>
          </w:tcPr>
          <w:p w14:paraId="40CBEF35" w14:textId="77777777" w:rsidR="003E5B95" w:rsidRPr="00FF5174" w:rsidRDefault="003E5B95" w:rsidP="003E5B95">
            <w:pPr>
              <w:pStyle w:val="NoSpacing"/>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shd w:val="clear" w:color="auto" w:fill="FFFFFF"/>
              </w:rPr>
            </w:pPr>
            <w:r w:rsidRPr="00FF5174">
              <w:rPr>
                <w:rFonts w:ascii="Times New Roman" w:hAnsi="Times New Roman" w:cs="Times New Roman"/>
                <w:sz w:val="24"/>
                <w:szCs w:val="24"/>
                <w:shd w:val="clear" w:color="auto" w:fill="FFFFFF"/>
              </w:rPr>
              <w:t>Stress arises because there is a misfit between the person and multiple dimensions of the environment concurrently.</w:t>
            </w:r>
          </w:p>
        </w:tc>
      </w:tr>
      <w:tr w:rsidR="003E5B95" w:rsidRPr="00FF5174" w14:paraId="363EF8D4"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4A967644" w14:textId="77777777" w:rsidR="003E5B95" w:rsidRPr="00FF5174" w:rsidRDefault="003E5B95" w:rsidP="003E5B95">
            <w:pPr>
              <w:spacing w:line="240" w:lineRule="auto"/>
              <w:ind w:firstLine="0"/>
              <w:rPr>
                <w:rFonts w:cs="Times New Roman"/>
                <w:color w:val="000000"/>
                <w:szCs w:val="24"/>
              </w:rPr>
            </w:pPr>
            <w:proofErr w:type="spellStart"/>
            <w:r w:rsidRPr="00FF5174">
              <w:rPr>
                <w:rFonts w:cs="Times New Roman"/>
                <w:b w:val="0"/>
                <w:bCs w:val="0"/>
                <w:color w:val="000000"/>
                <w:szCs w:val="24"/>
              </w:rPr>
              <w:t>Califf</w:t>
            </w:r>
            <w:proofErr w:type="spellEnd"/>
            <w:r w:rsidRPr="00FF5174">
              <w:rPr>
                <w:rFonts w:cs="Times New Roman"/>
                <w:b w:val="0"/>
                <w:bCs w:val="0"/>
                <w:color w:val="000000"/>
                <w:szCs w:val="24"/>
              </w:rPr>
              <w:t xml:space="preserve"> et al. (2020)</w:t>
            </w:r>
          </w:p>
        </w:tc>
        <w:tc>
          <w:tcPr>
            <w:tcW w:w="3890" w:type="pct"/>
            <w:tcBorders>
              <w:left w:val="single" w:sz="4" w:space="0" w:color="auto"/>
            </w:tcBorders>
          </w:tcPr>
          <w:p w14:paraId="0943F3A3"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Positive psychological response (eustress): The presence of a positive psychological state.</w:t>
            </w:r>
          </w:p>
          <w:p w14:paraId="0EE65B08"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lastRenderedPageBreak/>
              <w:t>Negative psychological response (distress): The presence of a negative psychological state.</w:t>
            </w:r>
          </w:p>
        </w:tc>
      </w:tr>
      <w:tr w:rsidR="003E5B95" w:rsidRPr="00FF5174" w14:paraId="0498FFD8"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28DCBC53"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lastRenderedPageBreak/>
              <w:t>King and Sethi (1997)</w:t>
            </w:r>
          </w:p>
        </w:tc>
        <w:tc>
          <w:tcPr>
            <w:tcW w:w="3890" w:type="pct"/>
            <w:tcBorders>
              <w:left w:val="single" w:sz="4" w:space="0" w:color="auto"/>
            </w:tcBorders>
          </w:tcPr>
          <w:p w14:paraId="373197CA" w14:textId="77777777" w:rsidR="003E5B95" w:rsidRPr="00FF517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F5174">
              <w:rPr>
                <w:rFonts w:cs="Times New Roman"/>
                <w:szCs w:val="24"/>
                <w:shd w:val="clear" w:color="auto" w:fill="FFFFFF"/>
              </w:rPr>
              <w:t>Burnout is defined as the reaction to role stress; it is a syndrome of emotional exhaustion and cynicism.</w:t>
            </w:r>
          </w:p>
        </w:tc>
      </w:tr>
      <w:tr w:rsidR="003E5B95" w:rsidRPr="00FF5174" w14:paraId="50FD25EC"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7C9BC4AD" w14:textId="77777777" w:rsidR="003E5B95" w:rsidRPr="00FF5174" w:rsidRDefault="003E5B95" w:rsidP="003E5B95">
            <w:pPr>
              <w:spacing w:line="240" w:lineRule="auto"/>
              <w:ind w:firstLine="0"/>
              <w:rPr>
                <w:rFonts w:cs="Times New Roman"/>
                <w:b w:val="0"/>
                <w:bCs w:val="0"/>
                <w:color w:val="000000"/>
                <w:szCs w:val="24"/>
              </w:rPr>
            </w:pPr>
            <w:proofErr w:type="spellStart"/>
            <w:r w:rsidRPr="00FF5174">
              <w:rPr>
                <w:rFonts w:cs="Times New Roman"/>
                <w:b w:val="0"/>
                <w:bCs w:val="0"/>
                <w:color w:val="000000"/>
                <w:szCs w:val="24"/>
              </w:rPr>
              <w:t>Salanova</w:t>
            </w:r>
            <w:proofErr w:type="spellEnd"/>
            <w:r w:rsidRPr="00FF5174">
              <w:rPr>
                <w:rFonts w:cs="Times New Roman"/>
                <w:b w:val="0"/>
                <w:bCs w:val="0"/>
                <w:color w:val="000000"/>
                <w:szCs w:val="24"/>
              </w:rPr>
              <w:t xml:space="preserve"> et al. (2000)</w:t>
            </w:r>
          </w:p>
        </w:tc>
        <w:tc>
          <w:tcPr>
            <w:tcW w:w="3890" w:type="pct"/>
            <w:tcBorders>
              <w:left w:val="single" w:sz="4" w:space="0" w:color="auto"/>
            </w:tcBorders>
          </w:tcPr>
          <w:p w14:paraId="7ED51E6D"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Professional burnout is an outcome measure in the occupational fields and studied in terms of exhaustion (defined as excessive energy drain due to the job demands) and cynicism (defined in terms of indifferent, detached, and distant attitude towards one’s work).</w:t>
            </w:r>
          </w:p>
        </w:tc>
      </w:tr>
      <w:tr w:rsidR="003E5B95" w:rsidRPr="00FF5174" w14:paraId="53097D49"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1AA49EFC"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Hennington et al. (2011)</w:t>
            </w:r>
          </w:p>
        </w:tc>
        <w:tc>
          <w:tcPr>
            <w:tcW w:w="3890" w:type="pct"/>
            <w:tcBorders>
              <w:left w:val="single" w:sz="4" w:space="0" w:color="auto"/>
            </w:tcBorders>
          </w:tcPr>
          <w:p w14:paraId="3873F1A1" w14:textId="77777777" w:rsidR="003E5B95" w:rsidRPr="00FF517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F5174">
              <w:rPr>
                <w:rFonts w:cs="Times New Roman"/>
                <w:color w:val="000000"/>
                <w:szCs w:val="24"/>
              </w:rPr>
              <w:t>Burnout is a prolonged response to chronic emotional and interpersonal demands in the workplace environment and has three dimensions: emotional exhaustion, cynicism, and inefficacy.</w:t>
            </w:r>
          </w:p>
        </w:tc>
      </w:tr>
      <w:tr w:rsidR="003E5B95" w:rsidRPr="00FF5174" w14:paraId="27608512"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2E184485" w14:textId="77777777" w:rsidR="003E5B95" w:rsidRPr="00FF5174" w:rsidRDefault="003E5B95" w:rsidP="003E5B95">
            <w:pPr>
              <w:spacing w:line="240" w:lineRule="auto"/>
              <w:ind w:firstLine="0"/>
              <w:rPr>
                <w:rFonts w:cs="Times New Roman"/>
                <w:b w:val="0"/>
                <w:bCs w:val="0"/>
                <w:szCs w:val="24"/>
                <w:shd w:val="clear" w:color="auto" w:fill="FFFFFF"/>
              </w:rPr>
            </w:pPr>
            <w:r w:rsidRPr="00FF5174">
              <w:rPr>
                <w:rFonts w:cs="Times New Roman"/>
                <w:b w:val="0"/>
                <w:bCs w:val="0"/>
                <w:color w:val="000000"/>
                <w:szCs w:val="24"/>
              </w:rPr>
              <w:t>Ishii and Markman (2016); Shih et al. (2013)</w:t>
            </w:r>
          </w:p>
        </w:tc>
        <w:tc>
          <w:tcPr>
            <w:tcW w:w="3890" w:type="pct"/>
            <w:tcBorders>
              <w:left w:val="single" w:sz="4" w:space="0" w:color="auto"/>
            </w:tcBorders>
          </w:tcPr>
          <w:p w14:paraId="7409647A"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Burnout is characterized by three responses: 1) emotional exhaustion, which is defined as the depletion of emotional resources, 2) depersonalization, which is a dehumanization of relationships, and 3) reduced feeling of personal accomplishments or a heightened feeling of incompetence.</w:t>
            </w:r>
          </w:p>
        </w:tc>
      </w:tr>
      <w:tr w:rsidR="003E5B95" w:rsidRPr="00FF5174" w14:paraId="3409BE89"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3CDDDAFB"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Budnick et al. (2020)</w:t>
            </w:r>
          </w:p>
        </w:tc>
        <w:tc>
          <w:tcPr>
            <w:tcW w:w="3890" w:type="pct"/>
            <w:tcBorders>
              <w:left w:val="single" w:sz="4" w:space="0" w:color="auto"/>
            </w:tcBorders>
          </w:tcPr>
          <w:p w14:paraId="2626A80D" w14:textId="77777777" w:rsidR="003E5B95" w:rsidRPr="00FF517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F5174">
              <w:rPr>
                <w:rFonts w:cs="Times New Roman"/>
                <w:color w:val="000000"/>
                <w:szCs w:val="24"/>
              </w:rPr>
              <w:t>Work burnout represents the elevated levels of exhaustion from one’s work.</w:t>
            </w:r>
          </w:p>
        </w:tc>
      </w:tr>
      <w:tr w:rsidR="003E5B95" w:rsidRPr="00FF5174" w14:paraId="317AC6E0"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74DF5001" w14:textId="77777777" w:rsidR="003E5B95" w:rsidRPr="00FF5174" w:rsidRDefault="003E5B95" w:rsidP="003E5B95">
            <w:pPr>
              <w:spacing w:line="240" w:lineRule="auto"/>
              <w:ind w:firstLine="0"/>
              <w:rPr>
                <w:rFonts w:cs="Times New Roman"/>
                <w:b w:val="0"/>
                <w:bCs w:val="0"/>
                <w:szCs w:val="24"/>
                <w:shd w:val="clear" w:color="auto" w:fill="FFFFFF"/>
              </w:rPr>
            </w:pPr>
            <w:r w:rsidRPr="00FF5174">
              <w:rPr>
                <w:rFonts w:cs="Times New Roman"/>
                <w:b w:val="0"/>
                <w:bCs w:val="0"/>
                <w:color w:val="000000"/>
                <w:szCs w:val="24"/>
              </w:rPr>
              <w:t>Ahuja et al. (2007); Allen et al. (2008); Armstrong et al. (2018); Moore (2000)</w:t>
            </w:r>
          </w:p>
        </w:tc>
        <w:tc>
          <w:tcPr>
            <w:tcW w:w="3890" w:type="pct"/>
            <w:tcBorders>
              <w:left w:val="single" w:sz="4" w:space="0" w:color="auto"/>
            </w:tcBorders>
          </w:tcPr>
          <w:p w14:paraId="360D2615"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Work exhaustion has been defined as the depletion of one’s emotional, mental, and physical resources.</w:t>
            </w:r>
          </w:p>
        </w:tc>
      </w:tr>
      <w:tr w:rsidR="003E5B95" w:rsidRPr="00FF5174" w14:paraId="15C56D1A"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4E2C51A5" w14:textId="77777777" w:rsidR="003E5B95" w:rsidRPr="00FF5174" w:rsidRDefault="003E5B95" w:rsidP="003E5B95">
            <w:pPr>
              <w:spacing w:line="240" w:lineRule="auto"/>
              <w:ind w:firstLine="0"/>
              <w:rPr>
                <w:rFonts w:cs="Times New Roman"/>
                <w:b w:val="0"/>
                <w:bCs w:val="0"/>
                <w:color w:val="000000"/>
                <w:szCs w:val="24"/>
              </w:rPr>
            </w:pPr>
            <w:r w:rsidRPr="00FF5174">
              <w:rPr>
                <w:rFonts w:cs="Times New Roman"/>
                <w:b w:val="0"/>
                <w:bCs w:val="0"/>
                <w:color w:val="000000"/>
                <w:szCs w:val="24"/>
              </w:rPr>
              <w:t>Shih et al. (2011)</w:t>
            </w:r>
          </w:p>
        </w:tc>
        <w:tc>
          <w:tcPr>
            <w:tcW w:w="3890" w:type="pct"/>
            <w:tcBorders>
              <w:left w:val="single" w:sz="4" w:space="0" w:color="auto"/>
            </w:tcBorders>
          </w:tcPr>
          <w:p w14:paraId="154511B8" w14:textId="77777777" w:rsidR="003E5B95" w:rsidRPr="00FF517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shd w:val="clear" w:color="auto" w:fill="FFFFFF"/>
              </w:rPr>
            </w:pPr>
            <w:r w:rsidRPr="00FF5174">
              <w:rPr>
                <w:rFonts w:cs="Times New Roman"/>
                <w:color w:val="000000"/>
                <w:szCs w:val="24"/>
              </w:rPr>
              <w:t>Work exhaustion is a negative consequence of strain and describes the feelings of being emotionally overextended and exhausted by one’s work.</w:t>
            </w:r>
          </w:p>
        </w:tc>
      </w:tr>
      <w:tr w:rsidR="003E5B95" w:rsidRPr="00FF5174" w14:paraId="57F88B5F"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1110" w:type="pct"/>
            <w:tcBorders>
              <w:right w:val="single" w:sz="4" w:space="0" w:color="auto"/>
            </w:tcBorders>
          </w:tcPr>
          <w:p w14:paraId="51F74D32" w14:textId="77777777" w:rsidR="003E5B95" w:rsidRPr="00FF5174" w:rsidRDefault="003E5B95" w:rsidP="003E5B95">
            <w:pPr>
              <w:spacing w:line="240" w:lineRule="auto"/>
              <w:ind w:firstLine="0"/>
              <w:rPr>
                <w:rFonts w:cs="Times New Roman"/>
                <w:b w:val="0"/>
                <w:bCs w:val="0"/>
                <w:szCs w:val="24"/>
                <w:shd w:val="clear" w:color="auto" w:fill="FFFFFF"/>
              </w:rPr>
            </w:pPr>
            <w:r w:rsidRPr="00FF5174">
              <w:rPr>
                <w:rFonts w:cs="Times New Roman"/>
                <w:b w:val="0"/>
                <w:bCs w:val="0"/>
                <w:color w:val="000000"/>
                <w:szCs w:val="24"/>
              </w:rPr>
              <w:t>Armstrong et al. (2015)</w:t>
            </w:r>
          </w:p>
        </w:tc>
        <w:tc>
          <w:tcPr>
            <w:tcW w:w="3890" w:type="pct"/>
            <w:tcBorders>
              <w:left w:val="single" w:sz="4" w:space="0" w:color="auto"/>
            </w:tcBorders>
          </w:tcPr>
          <w:p w14:paraId="17594D56" w14:textId="77777777" w:rsidR="003E5B95" w:rsidRPr="00FF517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F5174">
              <w:rPr>
                <w:rFonts w:cs="Times New Roman"/>
                <w:color w:val="000000"/>
                <w:szCs w:val="24"/>
              </w:rPr>
              <w:t>Exhaustion from IS career experiences is defined as the feeling of being overextended from one’s IS experiences or IS career.</w:t>
            </w:r>
          </w:p>
        </w:tc>
      </w:tr>
      <w:tr w:rsidR="003E5B95" w:rsidRPr="00FF5174" w14:paraId="13AD9E83"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1110" w:type="pct"/>
            <w:tcBorders>
              <w:bottom w:val="single" w:sz="4" w:space="0" w:color="auto"/>
              <w:right w:val="single" w:sz="4" w:space="0" w:color="auto"/>
            </w:tcBorders>
          </w:tcPr>
          <w:p w14:paraId="75079F03" w14:textId="77777777" w:rsidR="003E5B95" w:rsidRPr="00FF5174" w:rsidRDefault="003E5B95" w:rsidP="003E5B95">
            <w:pPr>
              <w:pStyle w:val="NoSpacing"/>
              <w:rPr>
                <w:rFonts w:ascii="Times New Roman" w:hAnsi="Times New Roman" w:cs="Times New Roman"/>
                <w:b w:val="0"/>
                <w:bCs w:val="0"/>
                <w:sz w:val="24"/>
                <w:szCs w:val="24"/>
                <w:shd w:val="clear" w:color="auto" w:fill="FFFFFF"/>
              </w:rPr>
            </w:pPr>
            <w:r w:rsidRPr="00FF5174">
              <w:rPr>
                <w:rFonts w:ascii="Times New Roman" w:hAnsi="Times New Roman" w:cs="Times New Roman"/>
                <w:b w:val="0"/>
                <w:bCs w:val="0"/>
                <w:noProof/>
                <w:sz w:val="24"/>
                <w:szCs w:val="24"/>
                <w:shd w:val="clear" w:color="auto" w:fill="FFFFFF"/>
              </w:rPr>
              <w:t>Lingling et al. (2018, p. 1111)</w:t>
            </w:r>
          </w:p>
        </w:tc>
        <w:tc>
          <w:tcPr>
            <w:tcW w:w="3890" w:type="pct"/>
            <w:tcBorders>
              <w:left w:val="single" w:sz="4" w:space="0" w:color="auto"/>
            </w:tcBorders>
          </w:tcPr>
          <w:p w14:paraId="406C3EAF" w14:textId="77777777" w:rsidR="003E5B95" w:rsidRPr="00FF517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cs="Times New Roman"/>
                <w:szCs w:val="24"/>
                <w:shd w:val="clear" w:color="auto" w:fill="FFFFFF"/>
              </w:rPr>
            </w:pPr>
            <w:r w:rsidRPr="00FF5174">
              <w:rPr>
                <w:rFonts w:cs="Times New Roman"/>
                <w:color w:val="000000"/>
                <w:szCs w:val="24"/>
              </w:rPr>
              <w:t>Social media exhaustion is “an individual’s aversive and unconscious psychological response to stressful conditions in social media environment”.</w:t>
            </w:r>
          </w:p>
        </w:tc>
      </w:tr>
    </w:tbl>
    <w:p w14:paraId="06A6C064" w14:textId="77777777" w:rsidR="003E5B95" w:rsidRPr="00FF5174" w:rsidRDefault="003E5B95" w:rsidP="003E5B95">
      <w:pPr>
        <w:pStyle w:val="EndNoteBibliography"/>
        <w:spacing w:after="0"/>
        <w:ind w:left="360" w:hanging="360"/>
        <w:rPr>
          <w:szCs w:val="24"/>
        </w:rPr>
      </w:pPr>
    </w:p>
    <w:p w14:paraId="462F63AA" w14:textId="77777777" w:rsidR="003E5B95" w:rsidRPr="00FF5174" w:rsidRDefault="003E5B95">
      <w:pPr>
        <w:spacing w:after="160" w:line="259" w:lineRule="auto"/>
        <w:ind w:firstLine="0"/>
        <w:contextualSpacing w:val="0"/>
        <w:rPr>
          <w:rFonts w:cs="Times New Roman"/>
          <w:noProof/>
          <w:kern w:val="0"/>
          <w:szCs w:val="24"/>
          <w:lang w:eastAsia="en-US"/>
        </w:rPr>
      </w:pPr>
      <w:r w:rsidRPr="00FF5174">
        <w:rPr>
          <w:szCs w:val="24"/>
        </w:rPr>
        <w:br w:type="page"/>
      </w:r>
    </w:p>
    <w:p w14:paraId="230F5876" w14:textId="77777777" w:rsidR="003E5B95" w:rsidRDefault="003E5B95" w:rsidP="003E5B95">
      <w:pPr>
        <w:pStyle w:val="EndNoteBibliography"/>
        <w:spacing w:after="0"/>
        <w:ind w:left="360" w:hanging="360"/>
      </w:pPr>
    </w:p>
    <w:p w14:paraId="1EC16955" w14:textId="77777777" w:rsidR="003E5B95" w:rsidRPr="004A68E8" w:rsidRDefault="003E5B95" w:rsidP="003E5B95">
      <w:pPr>
        <w:pStyle w:val="Heading2"/>
      </w:pPr>
      <w:bookmarkStart w:id="152" w:name="_Toc74087518"/>
      <w:bookmarkStart w:id="153" w:name="_Toc74258634"/>
      <w:r>
        <w:t>References for Appendix A</w:t>
      </w:r>
      <w:bookmarkEnd w:id="152"/>
      <w:bookmarkEnd w:id="153"/>
    </w:p>
    <w:p w14:paraId="7CF299C6" w14:textId="0E89AFB3" w:rsidR="003E5B95" w:rsidRPr="0001200D" w:rsidRDefault="003E5B95" w:rsidP="003E5B95">
      <w:pPr>
        <w:pStyle w:val="EndNoteBibliography"/>
        <w:spacing w:after="240"/>
        <w:ind w:left="720" w:hanging="720"/>
      </w:pPr>
      <w:r w:rsidRPr="0001200D">
        <w:t>Adya, M., &amp; Phillips-Wren, G. (2020). Stressed decision makers and use of decision aids: a literature review and conceptual mode</w:t>
      </w:r>
      <w:r w:rsidR="000361CD">
        <w:t>l</w:t>
      </w:r>
      <w:r w:rsidRPr="0001200D">
        <w:t xml:space="preserve">. </w:t>
      </w:r>
      <w:r w:rsidRPr="0001200D">
        <w:rPr>
          <w:i/>
        </w:rPr>
        <w:t>Information Technology &amp; People</w:t>
      </w:r>
      <w:r w:rsidRPr="0001200D">
        <w:t>,</w:t>
      </w:r>
      <w:r w:rsidRPr="0001200D">
        <w:rPr>
          <w:i/>
        </w:rPr>
        <w:t xml:space="preserve"> 33</w:t>
      </w:r>
      <w:r w:rsidRPr="0001200D">
        <w:t xml:space="preserve">(2), 710-754. </w:t>
      </w:r>
      <w:r w:rsidRPr="003E5B95">
        <w:t>https://doi.org/10.1108/ITP-04-2019-0194</w:t>
      </w:r>
      <w:r w:rsidRPr="0001200D">
        <w:t xml:space="preserve"> </w:t>
      </w:r>
    </w:p>
    <w:p w14:paraId="02022E1B" w14:textId="77777777" w:rsidR="003E5B95" w:rsidRPr="0001200D" w:rsidRDefault="003E5B95" w:rsidP="003E5B95">
      <w:pPr>
        <w:pStyle w:val="EndNoteBibliography"/>
        <w:spacing w:after="240"/>
        <w:ind w:left="720" w:hanging="720"/>
      </w:pPr>
      <w:r w:rsidRPr="0001200D">
        <w:t xml:space="preserve">Ahuja, M. K., Chudoba, K. M., Kacmar, C. J., McKnight, D. H., &amp; George, J. F. (2007). IT road warriors: Balancing work-family conflict, job autonomy, and work overload to mitigate turnover intentions. </w:t>
      </w:r>
      <w:r w:rsidRPr="0001200D">
        <w:rPr>
          <w:i/>
        </w:rPr>
        <w:t>MIS Quarterly</w:t>
      </w:r>
      <w:r w:rsidRPr="0001200D">
        <w:t>,</w:t>
      </w:r>
      <w:r w:rsidRPr="0001200D">
        <w:rPr>
          <w:i/>
        </w:rPr>
        <w:t xml:space="preserve"> 31</w:t>
      </w:r>
      <w:r w:rsidRPr="0001200D">
        <w:t xml:space="preserve">(1), 1-17. </w:t>
      </w:r>
    </w:p>
    <w:p w14:paraId="28AF67F3" w14:textId="77777777" w:rsidR="003E5B95" w:rsidRPr="0001200D" w:rsidRDefault="003E5B95" w:rsidP="003E5B95">
      <w:pPr>
        <w:pStyle w:val="EndNoteBibliography"/>
        <w:spacing w:after="240"/>
        <w:ind w:left="720" w:hanging="720"/>
      </w:pPr>
      <w:r w:rsidRPr="0001200D">
        <w:t xml:space="preserve">Allen, M. W., Armstrong, D. J., Reid, M. F., &amp; Riemenschneider, C. K. (2008). Factors impacting the perceived organizational support of IT employees. </w:t>
      </w:r>
      <w:r w:rsidRPr="0001200D">
        <w:rPr>
          <w:i/>
        </w:rPr>
        <w:t>Information &amp; Management</w:t>
      </w:r>
      <w:r w:rsidRPr="0001200D">
        <w:t>,</w:t>
      </w:r>
      <w:r w:rsidRPr="0001200D">
        <w:rPr>
          <w:i/>
        </w:rPr>
        <w:t xml:space="preserve"> 45</w:t>
      </w:r>
      <w:r w:rsidRPr="0001200D">
        <w:t xml:space="preserve">(8), 556-563. </w:t>
      </w:r>
    </w:p>
    <w:p w14:paraId="6C339A36" w14:textId="77777777" w:rsidR="003E5B95" w:rsidRPr="0001200D" w:rsidRDefault="003E5B95" w:rsidP="003E5B95">
      <w:pPr>
        <w:pStyle w:val="EndNoteBibliography"/>
        <w:spacing w:after="240"/>
        <w:ind w:left="720" w:hanging="720"/>
      </w:pPr>
      <w:r w:rsidRPr="0001200D">
        <w:t xml:space="preserve">Ann Sykes, T. (2015). Support structures and their impacts on employee outcomes: A longitudinal field study of an enterprise system implementation. </w:t>
      </w:r>
      <w:r w:rsidRPr="0001200D">
        <w:rPr>
          <w:i/>
        </w:rPr>
        <w:t>MIS Quarterly</w:t>
      </w:r>
      <w:r w:rsidRPr="0001200D">
        <w:t>,</w:t>
      </w:r>
      <w:r w:rsidRPr="0001200D">
        <w:rPr>
          <w:i/>
        </w:rPr>
        <w:t xml:space="preserve"> 39</w:t>
      </w:r>
      <w:r w:rsidRPr="0001200D">
        <w:t xml:space="preserve">(2), 473-495. </w:t>
      </w:r>
    </w:p>
    <w:p w14:paraId="12AFFEA9" w14:textId="4DC04FE4" w:rsidR="003E5B95" w:rsidRPr="0001200D" w:rsidRDefault="003E5B95" w:rsidP="003E5B95">
      <w:pPr>
        <w:pStyle w:val="EndNoteBibliography"/>
        <w:spacing w:after="240"/>
        <w:ind w:left="720" w:hanging="720"/>
      </w:pPr>
      <w:r w:rsidRPr="0001200D">
        <w:t xml:space="preserve">Armstrong, D., Riemenschneider, C., Buche, M. W., &amp; Armstrong, K. R. (2018). Mitigating turnover intentions: Are all IT workers warriors. </w:t>
      </w:r>
      <w:r w:rsidRPr="0001200D">
        <w:rPr>
          <w:i/>
        </w:rPr>
        <w:t>AIS Transactions on Replication Research</w:t>
      </w:r>
      <w:r w:rsidRPr="0001200D">
        <w:t>,</w:t>
      </w:r>
      <w:r w:rsidRPr="0001200D">
        <w:rPr>
          <w:i/>
        </w:rPr>
        <w:t xml:space="preserve"> 4</w:t>
      </w:r>
      <w:r w:rsidRPr="0001200D">
        <w:t>(1), 1</w:t>
      </w:r>
      <w:r w:rsidR="00E16C46">
        <w:t>-20</w:t>
      </w:r>
      <w:r w:rsidRPr="0001200D">
        <w:t xml:space="preserve">. </w:t>
      </w:r>
    </w:p>
    <w:p w14:paraId="04C94262" w14:textId="77777777" w:rsidR="003E5B95" w:rsidRPr="0001200D" w:rsidRDefault="003E5B95" w:rsidP="003E5B95">
      <w:pPr>
        <w:pStyle w:val="EndNoteBibliography"/>
        <w:spacing w:after="240"/>
        <w:ind w:left="720" w:hanging="720"/>
      </w:pPr>
      <w:r w:rsidRPr="0001200D">
        <w:t xml:space="preserve">Armstrong, D. J., Brooks, N. G., &amp; Riemenschneider, C. K. (2015). Exhaustion from information system career experience: Implications for turn-away intention. </w:t>
      </w:r>
      <w:r w:rsidRPr="0001200D">
        <w:rPr>
          <w:i/>
        </w:rPr>
        <w:t>MIS Quarterly</w:t>
      </w:r>
      <w:r w:rsidRPr="0001200D">
        <w:t>,</w:t>
      </w:r>
      <w:r w:rsidRPr="0001200D">
        <w:rPr>
          <w:i/>
        </w:rPr>
        <w:t xml:space="preserve"> 39</w:t>
      </w:r>
      <w:r w:rsidRPr="0001200D">
        <w:t xml:space="preserve">(3), 713-728. </w:t>
      </w:r>
    </w:p>
    <w:p w14:paraId="38046ACA" w14:textId="77777777" w:rsidR="003E5B95" w:rsidRPr="0001200D" w:rsidRDefault="003E5B95" w:rsidP="003E5B95">
      <w:pPr>
        <w:pStyle w:val="EndNoteBibliography"/>
        <w:spacing w:after="240"/>
        <w:ind w:left="720" w:hanging="720"/>
      </w:pPr>
      <w:r w:rsidRPr="0001200D">
        <w:t xml:space="preserve">Ayyagari, R., Grover, V., &amp; Purvis, R. (2011). Technostress: technological antecedents and implications. </w:t>
      </w:r>
      <w:r w:rsidRPr="0001200D">
        <w:rPr>
          <w:i/>
        </w:rPr>
        <w:t>MIS Quarterly</w:t>
      </w:r>
      <w:r w:rsidRPr="0001200D">
        <w:t>,</w:t>
      </w:r>
      <w:r w:rsidRPr="0001200D">
        <w:rPr>
          <w:i/>
        </w:rPr>
        <w:t xml:space="preserve"> 35</w:t>
      </w:r>
      <w:r w:rsidRPr="0001200D">
        <w:t xml:space="preserve">(4), 831-858. </w:t>
      </w:r>
    </w:p>
    <w:p w14:paraId="1C81A246" w14:textId="77777777" w:rsidR="003E5B95" w:rsidRPr="0001200D" w:rsidRDefault="003E5B95" w:rsidP="003E5B95">
      <w:pPr>
        <w:pStyle w:val="EndNoteBibliography"/>
        <w:spacing w:after="240"/>
        <w:ind w:left="720" w:hanging="720"/>
      </w:pPr>
      <w:r w:rsidRPr="0001200D">
        <w:t xml:space="preserve">Brod, C. (1982). Managing technostress: Optimizing the use of computer technology. </w:t>
      </w:r>
      <w:r w:rsidRPr="0001200D">
        <w:rPr>
          <w:i/>
        </w:rPr>
        <w:t>Personnel Journal</w:t>
      </w:r>
      <w:r w:rsidRPr="0001200D">
        <w:t>,</w:t>
      </w:r>
      <w:r w:rsidRPr="0001200D">
        <w:rPr>
          <w:i/>
        </w:rPr>
        <w:t xml:space="preserve"> 61</w:t>
      </w:r>
      <w:r w:rsidRPr="0001200D">
        <w:t xml:space="preserve">(10), 753-757. </w:t>
      </w:r>
    </w:p>
    <w:p w14:paraId="343B1792" w14:textId="4A618D8A" w:rsidR="003E5B95" w:rsidRPr="0001200D" w:rsidRDefault="003E5B95" w:rsidP="003E5B95">
      <w:pPr>
        <w:pStyle w:val="EndNoteBibliography"/>
        <w:spacing w:after="240"/>
        <w:ind w:left="720" w:hanging="720"/>
      </w:pPr>
      <w:r w:rsidRPr="0001200D">
        <w:t xml:space="preserve">Budnick, C. J., Rogers, A. P., &amp; Barber, L. K. (2020). The fear of missing out at work: Examining costs and benefits to employee health and motivation. </w:t>
      </w:r>
      <w:r w:rsidRPr="0001200D">
        <w:rPr>
          <w:i/>
        </w:rPr>
        <w:t>Computers in Human Behavior</w:t>
      </w:r>
      <w:r w:rsidRPr="0001200D">
        <w:t>,</w:t>
      </w:r>
      <w:r w:rsidRPr="0001200D">
        <w:rPr>
          <w:i/>
        </w:rPr>
        <w:t xml:space="preserve"> 104</w:t>
      </w:r>
      <w:r w:rsidRPr="0001200D">
        <w:t xml:space="preserve">, 106161. </w:t>
      </w:r>
      <w:r w:rsidRPr="003E5B95">
        <w:t>https://doi.org/10.1016/j.chb.2019.106161</w:t>
      </w:r>
      <w:r w:rsidRPr="0001200D">
        <w:t xml:space="preserve"> </w:t>
      </w:r>
    </w:p>
    <w:p w14:paraId="5A040219" w14:textId="77777777" w:rsidR="003E5B95" w:rsidRPr="0001200D" w:rsidRDefault="003E5B95" w:rsidP="003E5B95">
      <w:pPr>
        <w:pStyle w:val="EndNoteBibliography"/>
        <w:spacing w:after="240"/>
        <w:ind w:left="720" w:hanging="720"/>
      </w:pPr>
      <w:r w:rsidRPr="0001200D">
        <w:t xml:space="preserve">Califf, C. B., Sarker, S., &amp; Sarker, S. (2020). The Bright and Dark Sides of Technostress: A Mixed-Methods Study Involving Healthcare IT. </w:t>
      </w:r>
      <w:r w:rsidRPr="0001200D">
        <w:rPr>
          <w:i/>
        </w:rPr>
        <w:t>MIS Quarterly</w:t>
      </w:r>
      <w:r w:rsidRPr="0001200D">
        <w:t>,</w:t>
      </w:r>
      <w:r w:rsidRPr="0001200D">
        <w:rPr>
          <w:i/>
        </w:rPr>
        <w:t xml:space="preserve"> 44</w:t>
      </w:r>
      <w:r w:rsidRPr="0001200D">
        <w:t xml:space="preserve">(2), 809-856. </w:t>
      </w:r>
    </w:p>
    <w:p w14:paraId="66D14C8D" w14:textId="77777777" w:rsidR="003E5B95" w:rsidRPr="0001200D" w:rsidRDefault="003E5B95" w:rsidP="003E5B95">
      <w:pPr>
        <w:pStyle w:val="EndNoteBibliography"/>
        <w:spacing w:after="240"/>
        <w:ind w:left="720" w:hanging="720"/>
      </w:pPr>
      <w:r w:rsidRPr="0001200D">
        <w:t xml:space="preserve">Galluch, P. S., Grover, V., &amp; Thatcher, J. B. (2015). Interrupting the workplace: Examining stressors in an information technology context. </w:t>
      </w:r>
      <w:r w:rsidRPr="0001200D">
        <w:rPr>
          <w:i/>
        </w:rPr>
        <w:t>Journal of the Association for Information Systems</w:t>
      </w:r>
      <w:r w:rsidRPr="0001200D">
        <w:t>,</w:t>
      </w:r>
      <w:r w:rsidRPr="0001200D">
        <w:rPr>
          <w:i/>
        </w:rPr>
        <w:t xml:space="preserve"> 16</w:t>
      </w:r>
      <w:r w:rsidRPr="0001200D">
        <w:t xml:space="preserve">(1), 1-47. </w:t>
      </w:r>
    </w:p>
    <w:p w14:paraId="0672A467" w14:textId="0A855238" w:rsidR="003E5B95" w:rsidRPr="0001200D" w:rsidRDefault="003E5B95" w:rsidP="003E5B95">
      <w:pPr>
        <w:pStyle w:val="EndNoteBibliography"/>
        <w:spacing w:after="240"/>
        <w:ind w:left="720" w:hanging="720"/>
      </w:pPr>
      <w:r w:rsidRPr="0001200D">
        <w:t>Hennington, A., Janz, B., &amp; Poston, R. (2011). I’m just burned out: Understanding information system compatibility with personal values and role-based stress in a nursing context</w:t>
      </w:r>
      <w:r w:rsidR="000361CD">
        <w:t xml:space="preserve">. </w:t>
      </w:r>
      <w:r w:rsidRPr="0001200D">
        <w:rPr>
          <w:i/>
        </w:rPr>
        <w:t>Computers in Human Behavior</w:t>
      </w:r>
      <w:r w:rsidRPr="0001200D">
        <w:t>,</w:t>
      </w:r>
      <w:r w:rsidRPr="0001200D">
        <w:rPr>
          <w:i/>
        </w:rPr>
        <w:t xml:space="preserve"> 27</w:t>
      </w:r>
      <w:r w:rsidRPr="0001200D">
        <w:t xml:space="preserve">(3), 1238-1248. </w:t>
      </w:r>
      <w:r w:rsidRPr="003E5B95">
        <w:t>https://doi.org/10.1016/j.chb.2011.01.004</w:t>
      </w:r>
      <w:r w:rsidRPr="0001200D">
        <w:t xml:space="preserve"> </w:t>
      </w:r>
    </w:p>
    <w:p w14:paraId="7719BB76" w14:textId="4E73C5FB" w:rsidR="003E5B95" w:rsidRPr="0001200D" w:rsidRDefault="003E5B95" w:rsidP="003E5B95">
      <w:pPr>
        <w:pStyle w:val="EndNoteBibliography"/>
        <w:spacing w:after="240"/>
        <w:ind w:left="720" w:hanging="720"/>
      </w:pPr>
      <w:r w:rsidRPr="0001200D">
        <w:lastRenderedPageBreak/>
        <w:t xml:space="preserve">Ishii, K., &amp; Markman, K. M. (2016). Online customer service and emotional labor: An exploratory study. </w:t>
      </w:r>
      <w:r w:rsidRPr="0001200D">
        <w:rPr>
          <w:i/>
        </w:rPr>
        <w:t>Computers in Human Behavior</w:t>
      </w:r>
      <w:r w:rsidRPr="0001200D">
        <w:t>,</w:t>
      </w:r>
      <w:r w:rsidRPr="0001200D">
        <w:rPr>
          <w:i/>
        </w:rPr>
        <w:t xml:space="preserve"> 62</w:t>
      </w:r>
      <w:r w:rsidRPr="0001200D">
        <w:t xml:space="preserve">, 658-665. </w:t>
      </w:r>
      <w:r w:rsidRPr="003E5B95">
        <w:t>https://doi.org/10.1016/j.chb.2016.04.037</w:t>
      </w:r>
      <w:r w:rsidRPr="0001200D">
        <w:t xml:space="preserve"> </w:t>
      </w:r>
    </w:p>
    <w:p w14:paraId="313998FA" w14:textId="77777777" w:rsidR="003E5B95" w:rsidRPr="0001200D" w:rsidRDefault="003E5B95" w:rsidP="003E5B95">
      <w:pPr>
        <w:pStyle w:val="EndNoteBibliography"/>
        <w:spacing w:after="240"/>
        <w:ind w:left="720" w:hanging="720"/>
      </w:pPr>
      <w:r w:rsidRPr="0001200D">
        <w:t xml:space="preserve">King, R. C., &amp; Sethi, V. (1997). The moderating effect of organizational commitment on burnout in information systems professionals. </w:t>
      </w:r>
      <w:r w:rsidRPr="0001200D">
        <w:rPr>
          <w:i/>
        </w:rPr>
        <w:t>European Journal of Information Systems</w:t>
      </w:r>
      <w:r w:rsidRPr="0001200D">
        <w:t>,</w:t>
      </w:r>
      <w:r w:rsidRPr="0001200D">
        <w:rPr>
          <w:i/>
        </w:rPr>
        <w:t xml:space="preserve"> 6</w:t>
      </w:r>
      <w:r w:rsidRPr="0001200D">
        <w:t xml:space="preserve">(2), 86-96. </w:t>
      </w:r>
    </w:p>
    <w:p w14:paraId="09AE7315" w14:textId="77777777" w:rsidR="003E5B95" w:rsidRPr="0001200D" w:rsidRDefault="003E5B95" w:rsidP="003E5B95">
      <w:pPr>
        <w:pStyle w:val="EndNoteBibliography"/>
        <w:spacing w:after="240"/>
        <w:ind w:left="720" w:hanging="720"/>
      </w:pPr>
      <w:r w:rsidRPr="0001200D">
        <w:t xml:space="preserve">Li, E. Y., &amp; Shani, A. B. (1991). Stress dynamics of information systems managers: a contingency model. </w:t>
      </w:r>
      <w:r w:rsidRPr="0001200D">
        <w:rPr>
          <w:i/>
        </w:rPr>
        <w:t>Journal of Management Information Systems</w:t>
      </w:r>
      <w:r w:rsidRPr="0001200D">
        <w:t>,</w:t>
      </w:r>
      <w:r w:rsidRPr="0001200D">
        <w:rPr>
          <w:i/>
        </w:rPr>
        <w:t xml:space="preserve"> 7</w:t>
      </w:r>
      <w:r w:rsidRPr="0001200D">
        <w:t xml:space="preserve">(4), 107-130. </w:t>
      </w:r>
    </w:p>
    <w:p w14:paraId="0481B251" w14:textId="1DD8AE21" w:rsidR="003E5B95" w:rsidRPr="0001200D" w:rsidRDefault="003E5B95" w:rsidP="003E5B95">
      <w:pPr>
        <w:pStyle w:val="EndNoteBibliography"/>
        <w:spacing w:after="240"/>
        <w:ind w:left="720" w:hanging="720"/>
      </w:pPr>
      <w:r w:rsidRPr="0001200D">
        <w:t xml:space="preserve">Lingling, Y., Xiongfei, C., Zhiying, L., &amp; Junkai, W. (2018). Excessive social media use at work : Exploring the effects of social media overload on job performance. </w:t>
      </w:r>
      <w:r w:rsidRPr="0001200D">
        <w:rPr>
          <w:i/>
        </w:rPr>
        <w:t>Information Technology &amp; People</w:t>
      </w:r>
      <w:r w:rsidRPr="0001200D">
        <w:t>,</w:t>
      </w:r>
      <w:r w:rsidRPr="0001200D">
        <w:rPr>
          <w:i/>
        </w:rPr>
        <w:t xml:space="preserve"> 31</w:t>
      </w:r>
      <w:r w:rsidRPr="0001200D">
        <w:t xml:space="preserve">(6), 1091-1112. </w:t>
      </w:r>
      <w:r w:rsidRPr="003E5B95">
        <w:t>https://doi.org/10.1108/ITP-10-2016-0237</w:t>
      </w:r>
      <w:r w:rsidRPr="0001200D">
        <w:t xml:space="preserve"> </w:t>
      </w:r>
    </w:p>
    <w:p w14:paraId="7EA27E0D" w14:textId="77777777" w:rsidR="003E5B95" w:rsidRPr="0001200D" w:rsidRDefault="003E5B95" w:rsidP="003E5B95">
      <w:pPr>
        <w:pStyle w:val="EndNoteBibliography"/>
        <w:spacing w:after="240"/>
        <w:ind w:left="720" w:hanging="720"/>
      </w:pPr>
      <w:r w:rsidRPr="0001200D">
        <w:t xml:space="preserve">Longenecker, C. O., Schaffer, C. J., &amp; Scazzero, J. A. (1999). Causes and Consequences of Stress in the it Profession. </w:t>
      </w:r>
      <w:r w:rsidRPr="0001200D">
        <w:rPr>
          <w:i/>
        </w:rPr>
        <w:t>Information Systems Management</w:t>
      </w:r>
      <w:r w:rsidRPr="0001200D">
        <w:t>,</w:t>
      </w:r>
      <w:r w:rsidRPr="0001200D">
        <w:rPr>
          <w:i/>
        </w:rPr>
        <w:t xml:space="preserve"> 16</w:t>
      </w:r>
      <w:r w:rsidRPr="0001200D">
        <w:t xml:space="preserve">(3), 71-77. </w:t>
      </w:r>
      <w:r w:rsidRPr="003E5B95">
        <w:t>https://doi.org/10.1201/1078/43197.16.3.19990601/31318.10</w:t>
      </w:r>
      <w:r w:rsidRPr="0001200D">
        <w:t xml:space="preserve"> </w:t>
      </w:r>
    </w:p>
    <w:p w14:paraId="3ACAB481" w14:textId="04CCE6D0" w:rsidR="003E5B95" w:rsidRPr="0001200D" w:rsidRDefault="003E5B95" w:rsidP="003E5B95">
      <w:pPr>
        <w:pStyle w:val="EndNoteBibliography"/>
        <w:spacing w:after="240"/>
        <w:ind w:left="720" w:hanging="720"/>
      </w:pPr>
      <w:r w:rsidRPr="0001200D">
        <w:t xml:space="preserve">McCormac, A., Calic, D., Parsons, K., Butavicius, M., Pattinson, M., &amp; Lillie, M. (2018). The effect of resilience and job stress on information security awareness. </w:t>
      </w:r>
      <w:r w:rsidRPr="0001200D">
        <w:rPr>
          <w:i/>
        </w:rPr>
        <w:t>Information and Computer Security</w:t>
      </w:r>
      <w:r w:rsidRPr="0001200D">
        <w:t>,</w:t>
      </w:r>
      <w:r w:rsidRPr="0001200D">
        <w:rPr>
          <w:i/>
        </w:rPr>
        <w:t xml:space="preserve"> 26</w:t>
      </w:r>
      <w:r w:rsidRPr="0001200D">
        <w:t>(3), 277</w:t>
      </w:r>
      <w:r w:rsidR="00E16C46">
        <w:t>-289</w:t>
      </w:r>
      <w:r w:rsidRPr="0001200D">
        <w:t xml:space="preserve">. </w:t>
      </w:r>
    </w:p>
    <w:p w14:paraId="0D7B9567" w14:textId="77777777" w:rsidR="003E5B95" w:rsidRPr="0001200D" w:rsidRDefault="003E5B95" w:rsidP="003E5B95">
      <w:pPr>
        <w:pStyle w:val="EndNoteBibliography"/>
        <w:spacing w:after="240"/>
        <w:ind w:left="720" w:hanging="720"/>
      </w:pPr>
      <w:r w:rsidRPr="0001200D">
        <w:t xml:space="preserve">Moody, G. D., &amp; Galletta, D. F. (2015). Lost in Cyberspace: The Impact of Information Scent and Time Constraints on Stress, Performance, and Attitudes Online. </w:t>
      </w:r>
      <w:r w:rsidRPr="0001200D">
        <w:rPr>
          <w:i/>
        </w:rPr>
        <w:t>Journal of Management Information Systems</w:t>
      </w:r>
      <w:r w:rsidRPr="0001200D">
        <w:t>,</w:t>
      </w:r>
      <w:r w:rsidRPr="0001200D">
        <w:rPr>
          <w:i/>
        </w:rPr>
        <w:t xml:space="preserve"> 32</w:t>
      </w:r>
      <w:r w:rsidRPr="0001200D">
        <w:t xml:space="preserve">(1), 192-224. </w:t>
      </w:r>
      <w:r w:rsidRPr="003E5B95">
        <w:t>https://doi.org/10.1080/07421222.2015.1029391</w:t>
      </w:r>
      <w:r w:rsidRPr="0001200D">
        <w:t xml:space="preserve"> </w:t>
      </w:r>
    </w:p>
    <w:p w14:paraId="591F5068" w14:textId="63542E7D" w:rsidR="003E5B95" w:rsidRPr="0001200D" w:rsidRDefault="003E5B95" w:rsidP="003E5B95">
      <w:pPr>
        <w:pStyle w:val="EndNoteBibliography"/>
        <w:spacing w:after="240"/>
        <w:ind w:left="720" w:hanging="720"/>
      </w:pPr>
      <w:r w:rsidRPr="0001200D">
        <w:t xml:space="preserve">Moore, J. E. (2000). One Road To Turnover: An Examination Of Work Exhaustion in Technology Professionals. </w:t>
      </w:r>
      <w:r w:rsidRPr="0001200D">
        <w:rPr>
          <w:i/>
        </w:rPr>
        <w:t>MIS Quarterly</w:t>
      </w:r>
      <w:r w:rsidRPr="0001200D">
        <w:t>,</w:t>
      </w:r>
      <w:r w:rsidRPr="0001200D">
        <w:rPr>
          <w:i/>
        </w:rPr>
        <w:t xml:space="preserve"> 24</w:t>
      </w:r>
      <w:r w:rsidRPr="0001200D">
        <w:t xml:space="preserve">(1), 141-168. </w:t>
      </w:r>
      <w:r w:rsidRPr="003E5B95">
        <w:t>https://doi.org/10.2307/3250982</w:t>
      </w:r>
      <w:r w:rsidRPr="0001200D">
        <w:t xml:space="preserve"> </w:t>
      </w:r>
    </w:p>
    <w:p w14:paraId="215C8445" w14:textId="6DA76FD3" w:rsidR="003E5B95" w:rsidRPr="0001200D" w:rsidRDefault="003E5B95" w:rsidP="003E5B95">
      <w:pPr>
        <w:pStyle w:val="EndNoteBibliography"/>
        <w:spacing w:after="240"/>
        <w:ind w:left="720" w:hanging="720"/>
      </w:pPr>
      <w:r w:rsidRPr="0001200D">
        <w:t xml:space="preserve">Salanova, M., Grau, R. M., Cifre, E., &amp; Llorens, S. (2000). Computer training, frequency of usage and burnout: the moderating role of computer self-efficacy. </w:t>
      </w:r>
      <w:r w:rsidRPr="0001200D">
        <w:rPr>
          <w:i/>
        </w:rPr>
        <w:t>Computers in Human Behavior</w:t>
      </w:r>
      <w:r w:rsidRPr="0001200D">
        <w:t>,</w:t>
      </w:r>
      <w:r w:rsidRPr="0001200D">
        <w:rPr>
          <w:i/>
        </w:rPr>
        <w:t xml:space="preserve"> 16</w:t>
      </w:r>
      <w:r w:rsidRPr="0001200D">
        <w:t xml:space="preserve">(6), 575-590. </w:t>
      </w:r>
      <w:r w:rsidRPr="003E5B95">
        <w:t>https://doi.org/10.1016/S0747-5632(00)00028-5</w:t>
      </w:r>
      <w:r w:rsidRPr="0001200D">
        <w:t xml:space="preserve"> </w:t>
      </w:r>
    </w:p>
    <w:p w14:paraId="754B006A" w14:textId="7A878CF3" w:rsidR="003E5B95" w:rsidRPr="0001200D" w:rsidRDefault="003E5B95" w:rsidP="003E5B95">
      <w:pPr>
        <w:pStyle w:val="EndNoteBibliography"/>
        <w:spacing w:after="240"/>
        <w:ind w:left="720" w:hanging="720"/>
      </w:pPr>
      <w:r w:rsidRPr="0001200D">
        <w:t xml:space="preserve">Shih, S.-P., Jiang, J. J., Klein, G., &amp; Wang, E. (2011). Learning demand and job autonomy of IT personnel: Impact on turnover intention. </w:t>
      </w:r>
      <w:r w:rsidRPr="0001200D">
        <w:rPr>
          <w:i/>
        </w:rPr>
        <w:t>Computers in Human Behavior</w:t>
      </w:r>
      <w:r w:rsidRPr="0001200D">
        <w:t>,</w:t>
      </w:r>
      <w:r w:rsidRPr="0001200D">
        <w:rPr>
          <w:i/>
        </w:rPr>
        <w:t xml:space="preserve"> 27</w:t>
      </w:r>
      <w:r w:rsidRPr="0001200D">
        <w:t xml:space="preserve">(6), 2301-2307. </w:t>
      </w:r>
      <w:r w:rsidRPr="003E5B95">
        <w:t>https://doi.org/10.1016/j.chb.2011.07.009</w:t>
      </w:r>
      <w:r w:rsidRPr="0001200D">
        <w:t xml:space="preserve"> </w:t>
      </w:r>
    </w:p>
    <w:p w14:paraId="595BC8EF" w14:textId="77777777" w:rsidR="003E5B95" w:rsidRPr="0001200D" w:rsidRDefault="003E5B95" w:rsidP="003E5B95">
      <w:pPr>
        <w:pStyle w:val="EndNoteBibliography"/>
        <w:spacing w:after="240"/>
        <w:ind w:left="720" w:hanging="720"/>
      </w:pPr>
      <w:r w:rsidRPr="0001200D">
        <w:t xml:space="preserve">Shih, S.-P., Jiang, J. J., Klein, G., &amp; Wang, E. (2013). Job burnout of the information technology worker: Work exhaustion, depersonalization, and personal accomplishment. </w:t>
      </w:r>
      <w:r w:rsidRPr="0001200D">
        <w:rPr>
          <w:i/>
        </w:rPr>
        <w:t>Information &amp; Management</w:t>
      </w:r>
      <w:r w:rsidRPr="0001200D">
        <w:t>,</w:t>
      </w:r>
      <w:r w:rsidRPr="0001200D">
        <w:rPr>
          <w:i/>
        </w:rPr>
        <w:t xml:space="preserve"> 50</w:t>
      </w:r>
      <w:r w:rsidRPr="0001200D">
        <w:t xml:space="preserve">(7), 582-589. </w:t>
      </w:r>
    </w:p>
    <w:p w14:paraId="31385E5A" w14:textId="2E4EE448" w:rsidR="003E5B95" w:rsidRPr="0001200D" w:rsidRDefault="003E5B95" w:rsidP="003E5B95">
      <w:pPr>
        <w:pStyle w:val="EndNoteBibliography"/>
        <w:spacing w:after="240"/>
        <w:ind w:left="720" w:hanging="720"/>
      </w:pPr>
      <w:r w:rsidRPr="0001200D">
        <w:t xml:space="preserve">Venkatesh, V., Rai, A., &amp; Maruping, L. M. (2018). Information Systems Projects and Individual Developer Outcomes: Role of Project Managers and Process Control. </w:t>
      </w:r>
      <w:r w:rsidRPr="0001200D">
        <w:rPr>
          <w:i/>
        </w:rPr>
        <w:t>Information Systems Research</w:t>
      </w:r>
      <w:r w:rsidRPr="0001200D">
        <w:t>,</w:t>
      </w:r>
      <w:r w:rsidRPr="0001200D">
        <w:rPr>
          <w:i/>
        </w:rPr>
        <w:t xml:space="preserve"> 29</w:t>
      </w:r>
      <w:r w:rsidRPr="0001200D">
        <w:t xml:space="preserve">(1), 127-148. </w:t>
      </w:r>
      <w:r w:rsidRPr="003E5B95">
        <w:t>https://doi.org/10.1287/isre.2017.0723</w:t>
      </w:r>
      <w:r w:rsidRPr="0001200D">
        <w:t xml:space="preserve"> </w:t>
      </w:r>
    </w:p>
    <w:p w14:paraId="5A888141" w14:textId="6A6C0A01" w:rsidR="003E5B95" w:rsidRPr="0001200D" w:rsidRDefault="003E5B95" w:rsidP="003E5B95">
      <w:pPr>
        <w:pStyle w:val="EndNoteBibliography"/>
        <w:spacing w:after="240"/>
        <w:ind w:left="720" w:hanging="720"/>
      </w:pPr>
      <w:r w:rsidRPr="0001200D">
        <w:lastRenderedPageBreak/>
        <w:t>Wang, X., Tan, S. C., &amp; Li, L. (2020). Technostress in university students’ technology-enhanced learning: An investigation from multidimensional person-environment misfit.</w:t>
      </w:r>
      <w:r w:rsidR="000361CD">
        <w:t xml:space="preserve"> </w:t>
      </w:r>
      <w:r w:rsidRPr="0001200D">
        <w:rPr>
          <w:i/>
        </w:rPr>
        <w:t>Computers in Human Behavior</w:t>
      </w:r>
      <w:r w:rsidRPr="0001200D">
        <w:t>,</w:t>
      </w:r>
      <w:r w:rsidRPr="0001200D">
        <w:rPr>
          <w:i/>
        </w:rPr>
        <w:t xml:space="preserve"> 105</w:t>
      </w:r>
      <w:r w:rsidRPr="0001200D">
        <w:t xml:space="preserve">, 106208. </w:t>
      </w:r>
      <w:r w:rsidRPr="003E5B95">
        <w:t>https://doi.org/10.1016/j.chb.2019.106208</w:t>
      </w:r>
      <w:r w:rsidRPr="0001200D">
        <w:t xml:space="preserve"> </w:t>
      </w:r>
    </w:p>
    <w:p w14:paraId="41D37D4B" w14:textId="5B4FB6D5" w:rsidR="003E5B95" w:rsidRPr="0001200D" w:rsidRDefault="003E5B95" w:rsidP="003E5B95">
      <w:pPr>
        <w:pStyle w:val="EndNoteBibliography"/>
        <w:ind w:left="720" w:hanging="720"/>
      </w:pPr>
      <w:r w:rsidRPr="0001200D">
        <w:t xml:space="preserve">Weiss, M. (1983). Effects of work stress and social support on information systems managers. </w:t>
      </w:r>
      <w:r w:rsidRPr="0001200D">
        <w:rPr>
          <w:i/>
        </w:rPr>
        <w:t>MIS Quarterly</w:t>
      </w:r>
      <w:r w:rsidRPr="0001200D">
        <w:t>,</w:t>
      </w:r>
      <w:r w:rsidRPr="0001200D">
        <w:rPr>
          <w:i/>
        </w:rPr>
        <w:t xml:space="preserve"> 7</w:t>
      </w:r>
      <w:r w:rsidR="00E16C46" w:rsidRPr="00E16C46">
        <w:rPr>
          <w:iCs/>
        </w:rPr>
        <w:t>(1)</w:t>
      </w:r>
      <w:r w:rsidRPr="0001200D">
        <w:t xml:space="preserve">, 29-43. </w:t>
      </w:r>
    </w:p>
    <w:p w14:paraId="697A888D" w14:textId="77777777" w:rsidR="003E5B95" w:rsidRDefault="003E5B95" w:rsidP="003E5B95">
      <w:pPr>
        <w:sectPr w:rsidR="003E5B95" w:rsidSect="003E5B95">
          <w:pgSz w:w="12240" w:h="15840"/>
          <w:pgMar w:top="1440" w:right="1440" w:bottom="1440" w:left="1440" w:header="720" w:footer="720" w:gutter="0"/>
          <w:cols w:space="720"/>
          <w:titlePg/>
          <w:docGrid w:linePitch="360"/>
        </w:sectPr>
      </w:pPr>
    </w:p>
    <w:p w14:paraId="1CD56F0D" w14:textId="77777777" w:rsidR="003E5B95" w:rsidRPr="004669F2" w:rsidRDefault="003E5B95" w:rsidP="003E5B95">
      <w:pPr>
        <w:pStyle w:val="Heading1"/>
        <w:rPr>
          <w:b/>
          <w:bCs/>
        </w:rPr>
      </w:pPr>
      <w:bookmarkStart w:id="154" w:name="_Toc74087519"/>
      <w:bookmarkStart w:id="155" w:name="_Toc74258635"/>
      <w:bookmarkStart w:id="156" w:name="_Toc74045234"/>
      <w:r w:rsidRPr="004669F2">
        <w:rPr>
          <w:b/>
          <w:bCs/>
        </w:rPr>
        <w:lastRenderedPageBreak/>
        <w:t>APPENDIX B: ARTICLES EXCLUDED IN THE REVIEW PROCESS</w:t>
      </w:r>
      <w:bookmarkEnd w:id="154"/>
      <w:bookmarkEnd w:id="155"/>
    </w:p>
    <w:p w14:paraId="431219CB" w14:textId="77777777" w:rsidR="003E5B95" w:rsidRPr="001D043B" w:rsidRDefault="003E5B95" w:rsidP="003E5B95">
      <w:pPr>
        <w:pStyle w:val="Caption"/>
        <w:keepNext/>
        <w:spacing w:line="480" w:lineRule="auto"/>
        <w:rPr>
          <w:sz w:val="24"/>
          <w:szCs w:val="24"/>
        </w:rPr>
      </w:pPr>
      <w:bookmarkStart w:id="157" w:name="_Toc73955257"/>
      <w:bookmarkStart w:id="158" w:name="_Toc74074415"/>
      <w:bookmarkEnd w:id="156"/>
      <w:r w:rsidRPr="001D043B">
        <w:rPr>
          <w:sz w:val="24"/>
          <w:szCs w:val="24"/>
        </w:rPr>
        <w:t>Table B1</w:t>
      </w:r>
    </w:p>
    <w:p w14:paraId="287452F2" w14:textId="23BF75DF" w:rsidR="003E5B95" w:rsidRPr="001D043B" w:rsidRDefault="003E5B95" w:rsidP="003E5B95">
      <w:pPr>
        <w:pStyle w:val="Caption"/>
        <w:keepNext/>
        <w:spacing w:line="480" w:lineRule="auto"/>
        <w:rPr>
          <w:b w:val="0"/>
          <w:bCs/>
          <w:i/>
          <w:iCs w:val="0"/>
          <w:sz w:val="24"/>
          <w:szCs w:val="24"/>
        </w:rPr>
      </w:pPr>
      <w:bookmarkStart w:id="159" w:name="_Toc73917977"/>
      <w:r w:rsidRPr="001D043B">
        <w:rPr>
          <w:b w:val="0"/>
          <w:bCs/>
          <w:i/>
          <w:iCs w:val="0"/>
          <w:sz w:val="24"/>
          <w:szCs w:val="24"/>
        </w:rPr>
        <w:t>Articles</w:t>
      </w:r>
      <w:r w:rsidR="00426168">
        <w:rPr>
          <w:b w:val="0"/>
          <w:bCs/>
          <w:i/>
          <w:iCs w:val="0"/>
          <w:sz w:val="24"/>
          <w:szCs w:val="24"/>
        </w:rPr>
        <w:t xml:space="preserve"> </w:t>
      </w:r>
      <w:r w:rsidRPr="001D043B">
        <w:rPr>
          <w:b w:val="0"/>
          <w:bCs/>
          <w:i/>
          <w:iCs w:val="0"/>
          <w:sz w:val="24"/>
          <w:szCs w:val="24"/>
        </w:rPr>
        <w:t>and Reasons for Exclusion</w:t>
      </w:r>
      <w:bookmarkEnd w:id="157"/>
      <w:bookmarkEnd w:id="158"/>
      <w:bookmarkEnd w:id="159"/>
    </w:p>
    <w:tbl>
      <w:tblPr>
        <w:tblStyle w:val="PlainTable42"/>
        <w:tblW w:w="0" w:type="auto"/>
        <w:tblBorders>
          <w:top w:val="single" w:sz="4" w:space="0" w:color="auto"/>
          <w:bottom w:val="single" w:sz="4" w:space="0" w:color="auto"/>
        </w:tblBorders>
        <w:tblLayout w:type="fixed"/>
        <w:tblLook w:val="04A0" w:firstRow="1" w:lastRow="0" w:firstColumn="1" w:lastColumn="0" w:noHBand="0" w:noVBand="1"/>
      </w:tblPr>
      <w:tblGrid>
        <w:gridCol w:w="540"/>
        <w:gridCol w:w="2700"/>
        <w:gridCol w:w="6115"/>
      </w:tblGrid>
      <w:tr w:rsidR="003E5B95" w:rsidRPr="00787B1F" w14:paraId="016ECD86" w14:textId="77777777" w:rsidTr="00787B1F">
        <w:trPr>
          <w:cnfStyle w:val="100000000000" w:firstRow="1" w:lastRow="0" w:firstColumn="0" w:lastColumn="0" w:oddVBand="0" w:evenVBand="0" w:oddHBand="0"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540" w:type="dxa"/>
            <w:tcBorders>
              <w:top w:val="single" w:sz="4" w:space="0" w:color="auto"/>
              <w:bottom w:val="single" w:sz="4" w:space="0" w:color="auto"/>
            </w:tcBorders>
          </w:tcPr>
          <w:p w14:paraId="119ECB5C"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p>
        </w:tc>
        <w:tc>
          <w:tcPr>
            <w:tcW w:w="2700" w:type="dxa"/>
            <w:tcBorders>
              <w:top w:val="single" w:sz="4" w:space="0" w:color="auto"/>
              <w:bottom w:val="single" w:sz="4" w:space="0" w:color="auto"/>
              <w:right w:val="single" w:sz="4" w:space="0" w:color="auto"/>
            </w:tcBorders>
          </w:tcPr>
          <w:p w14:paraId="13EC39CD" w14:textId="77777777" w:rsidR="003E5B95" w:rsidRPr="00787B1F"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kern w:val="0"/>
                <w:szCs w:val="24"/>
                <w:lang w:eastAsia="en-US"/>
              </w:rPr>
            </w:pPr>
            <w:r w:rsidRPr="00787B1F">
              <w:rPr>
                <w:rFonts w:cs="Times New Roman"/>
                <w:b w:val="0"/>
                <w:bCs w:val="0"/>
                <w:color w:val="000000" w:themeColor="text1"/>
                <w:kern w:val="0"/>
                <w:szCs w:val="24"/>
                <w:lang w:eastAsia="en-US"/>
              </w:rPr>
              <w:t>Reasons for exclusion</w:t>
            </w:r>
          </w:p>
        </w:tc>
        <w:tc>
          <w:tcPr>
            <w:tcW w:w="6115" w:type="dxa"/>
            <w:tcBorders>
              <w:top w:val="single" w:sz="4" w:space="0" w:color="auto"/>
              <w:left w:val="single" w:sz="4" w:space="0" w:color="auto"/>
              <w:bottom w:val="single" w:sz="4" w:space="0" w:color="auto"/>
            </w:tcBorders>
          </w:tcPr>
          <w:p w14:paraId="68723BD8" w14:textId="77777777" w:rsidR="003E5B95" w:rsidRPr="00787B1F"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color w:val="000000" w:themeColor="text1"/>
                <w:kern w:val="0"/>
                <w:szCs w:val="24"/>
                <w:lang w:eastAsia="en-US"/>
              </w:rPr>
            </w:pPr>
            <w:r w:rsidRPr="00787B1F">
              <w:rPr>
                <w:rFonts w:cs="Times New Roman"/>
                <w:b w:val="0"/>
                <w:bCs w:val="0"/>
                <w:color w:val="000000" w:themeColor="text1"/>
                <w:kern w:val="0"/>
                <w:szCs w:val="24"/>
                <w:lang w:eastAsia="en-US"/>
              </w:rPr>
              <w:t xml:space="preserve">Journals and articles </w:t>
            </w:r>
          </w:p>
        </w:tc>
      </w:tr>
      <w:tr w:rsidR="003E5B95" w:rsidRPr="00787B1F" w14:paraId="0A734BE0" w14:textId="77777777" w:rsidTr="00787B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Borders>
              <w:top w:val="single" w:sz="4" w:space="0" w:color="auto"/>
            </w:tcBorders>
          </w:tcPr>
          <w:p w14:paraId="12CF516B"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1.</w:t>
            </w:r>
          </w:p>
        </w:tc>
        <w:tc>
          <w:tcPr>
            <w:tcW w:w="2700" w:type="dxa"/>
            <w:tcBorders>
              <w:top w:val="single" w:sz="4" w:space="0" w:color="auto"/>
              <w:right w:val="single" w:sz="4" w:space="0" w:color="auto"/>
            </w:tcBorders>
          </w:tcPr>
          <w:p w14:paraId="3673312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Articles containing the keyword</w:t>
            </w:r>
            <w:r w:rsidRPr="00787B1F">
              <w:rPr>
                <w:rFonts w:cs="Times New Roman"/>
                <w:bCs/>
                <w:color w:val="000000" w:themeColor="text1"/>
                <w:kern w:val="0"/>
                <w:szCs w:val="24"/>
                <w:lang w:eastAsia="en-US"/>
              </w:rPr>
              <w:t xml:space="preserve"> </w:t>
            </w:r>
            <w:r w:rsidRPr="00787B1F">
              <w:rPr>
                <w:rFonts w:cs="Times New Roman"/>
                <w:color w:val="000000" w:themeColor="text1"/>
                <w:kern w:val="0"/>
                <w:szCs w:val="24"/>
                <w:lang w:eastAsia="en-US"/>
              </w:rPr>
              <w:t>“stress”, but used in different meanings (e.g. verb, noun, etc.) or it relates with some context other than the psychological, physical, or physiological stress. For example, commuting stress (commuting in rush hours), password stress, the stress in social networking sites, etc.</w:t>
            </w:r>
          </w:p>
          <w:p w14:paraId="7C310B0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p w14:paraId="0081F97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154D35B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C&amp;S = 7</w:t>
            </w:r>
          </w:p>
          <w:p w14:paraId="4E123FE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7</w:t>
            </w:r>
          </w:p>
          <w:p w14:paraId="2D2ACD3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 5</w:t>
            </w:r>
          </w:p>
          <w:p w14:paraId="5E0F60A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I&amp;M = 2</w:t>
            </w:r>
          </w:p>
          <w:p w14:paraId="0EFB4D1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ISR = 2</w:t>
            </w:r>
          </w:p>
          <w:p w14:paraId="59CA540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ITP = 6</w:t>
            </w:r>
          </w:p>
          <w:p w14:paraId="4207AD5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Computer Information Systems = 2</w:t>
            </w:r>
          </w:p>
          <w:p w14:paraId="3B9115E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JAIS =1</w:t>
            </w:r>
          </w:p>
          <w:p w14:paraId="4801329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JIT = 6</w:t>
            </w:r>
          </w:p>
          <w:p w14:paraId="70FE296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JMIS = 2</w:t>
            </w:r>
          </w:p>
          <w:p w14:paraId="6188871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JSIS = 4</w:t>
            </w:r>
          </w:p>
          <w:p w14:paraId="4DB2D89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DSS = 5</w:t>
            </w:r>
          </w:p>
          <w:p w14:paraId="612B056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Decision Sciences = 4</w:t>
            </w:r>
          </w:p>
        </w:tc>
        <w:tc>
          <w:tcPr>
            <w:tcW w:w="6115" w:type="dxa"/>
            <w:tcBorders>
              <w:top w:val="single" w:sz="4" w:space="0" w:color="auto"/>
              <w:left w:val="single" w:sz="4" w:space="0" w:color="auto"/>
            </w:tcBorders>
          </w:tcPr>
          <w:p w14:paraId="4A7AE1E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C&amp;S</w:t>
            </w:r>
          </w:p>
          <w:p w14:paraId="673988E6" w14:textId="5F6413B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(Kandias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(Patsakis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(González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(Torrubia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2001)</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(Duncan</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(Möhrenschlager</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(Wolfe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1995)</w:t>
            </w:r>
          </w:p>
          <w:p w14:paraId="2545D6E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MISQ </w:t>
            </w:r>
          </w:p>
          <w:p w14:paraId="0352B66A" w14:textId="3F371132"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(Ceccagnoli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 (Hu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 (Majchrzak</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 (Moeini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Rivard</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 (Pavlou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Fygenson</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2006) (Puri</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2007) (Scherer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p>
          <w:p w14:paraId="172CA71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EJIS</w:t>
            </w:r>
          </w:p>
          <w:p w14:paraId="27133278" w14:textId="3C9F7B5E"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(Cameron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(Riemer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Johnston</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(Kettinger</w:t>
            </w:r>
            <w:r w:rsidR="00AD5D3F">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Yuan</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(Irani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2005b)</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(Irani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Love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2002)</w:t>
            </w:r>
            <w:r w:rsidRPr="00787B1F">
              <w:rPr>
                <w:rFonts w:cs="Times New Roman"/>
                <w:color w:val="000000" w:themeColor="text1"/>
                <w:kern w:val="0"/>
                <w:szCs w:val="24"/>
                <w:lang w:eastAsia="en-US"/>
              </w:rPr>
              <w:t xml:space="preserve"> </w:t>
            </w:r>
          </w:p>
          <w:p w14:paraId="2683DB8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Information &amp; Management</w:t>
            </w:r>
          </w:p>
          <w:p w14:paraId="2B8A34F2" w14:textId="1AA1DED9"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(Pavri</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Ang</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1995)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(Zhang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p>
          <w:p w14:paraId="701DEC6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ISJ</w:t>
            </w:r>
          </w:p>
          <w:p w14:paraId="4702DFA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None</w:t>
            </w:r>
          </w:p>
          <w:p w14:paraId="544A87A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ISR</w:t>
            </w:r>
          </w:p>
          <w:p w14:paraId="4A42A274" w14:textId="3C4F1452"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(Ghose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(Jenkins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795F09F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ITP</w:t>
            </w:r>
          </w:p>
          <w:p w14:paraId="4E0F248C" w14:textId="55CD61EA"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(Rana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(Agag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(Khakurel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(Croasdell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(Lowe</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Locke</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(Panteli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p w14:paraId="35F9EF98"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Computer Information Systems</w:t>
            </w:r>
          </w:p>
          <w:p w14:paraId="506960CD" w14:textId="6AC2DF83"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(Cappel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Zhenyu</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(Lesiuk</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2000)</w:t>
            </w:r>
          </w:p>
          <w:p w14:paraId="75B3765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JAIS</w:t>
            </w:r>
          </w:p>
          <w:p w14:paraId="00D071C1" w14:textId="71700162"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(Bergman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2007)</w:t>
            </w:r>
          </w:p>
          <w:p w14:paraId="57A8B3C8"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JIT</w:t>
            </w:r>
          </w:p>
          <w:p w14:paraId="7E05E21C" w14:textId="62BAD165"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(Elitzur and Wensley</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(Ngosi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Braganza</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(Pozzebon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Van Heck</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(Baskerville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(Westrup</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(Schultze</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2012)</w:t>
            </w:r>
          </w:p>
          <w:p w14:paraId="42C04B6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JMIS</w:t>
            </w:r>
          </w:p>
          <w:p w14:paraId="66197260" w14:textId="7C21D2E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(Otim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(Nunamaker Jr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p w14:paraId="7945C36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JSIS</w:t>
            </w:r>
          </w:p>
          <w:p w14:paraId="04667AA0" w14:textId="6B1821C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(Wastell</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White</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(Amaravadi</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(Abraham</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Junglas</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2011)</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(Loebbecke </w:t>
            </w:r>
            <w:r w:rsidR="00AD5D3F">
              <w:rPr>
                <w:rFonts w:cs="Times New Roman"/>
                <w:noProof/>
                <w:color w:val="000000" w:themeColor="text1"/>
                <w:kern w:val="0"/>
                <w:szCs w:val="24"/>
                <w:lang w:eastAsia="en-US"/>
              </w:rPr>
              <w:t>&amp; J</w:t>
            </w:r>
            <w:r w:rsidRPr="00787B1F">
              <w:rPr>
                <w:rFonts w:cs="Times New Roman"/>
                <w:noProof/>
                <w:color w:val="000000" w:themeColor="text1"/>
                <w:kern w:val="0"/>
                <w:szCs w:val="24"/>
                <w:lang w:eastAsia="en-US"/>
              </w:rPr>
              <w:t>elassi</w:t>
            </w:r>
            <w:r w:rsidR="00AD5D3F">
              <w:rPr>
                <w:rFonts w:cs="Times New Roman"/>
                <w:noProof/>
                <w:color w:val="000000" w:themeColor="text1"/>
                <w:kern w:val="0"/>
                <w:szCs w:val="24"/>
                <w:lang w:eastAsia="en-US"/>
              </w:rPr>
              <w:t>, 1</w:t>
            </w:r>
            <w:r w:rsidRPr="00787B1F">
              <w:rPr>
                <w:rFonts w:cs="Times New Roman"/>
                <w:noProof/>
                <w:color w:val="000000" w:themeColor="text1"/>
                <w:kern w:val="0"/>
                <w:szCs w:val="24"/>
                <w:lang w:eastAsia="en-US"/>
              </w:rPr>
              <w:t>997)</w:t>
            </w:r>
          </w:p>
          <w:p w14:paraId="6A7AF9C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DSS</w:t>
            </w:r>
          </w:p>
          <w:p w14:paraId="5B8DAB51" w14:textId="561AB18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(Groves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(Hu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(Naderpour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(Hermans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(Gwebu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Wang</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2011)</w:t>
            </w:r>
          </w:p>
          <w:p w14:paraId="64F219C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Decision Science</w:t>
            </w:r>
          </w:p>
          <w:p w14:paraId="36D452A5" w14:textId="3FB66014"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lastRenderedPageBreak/>
              <w:t>(Narasimhan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(Narasimhan</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(Ben‐Assuli</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Leshno</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(Joyce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1997)</w:t>
            </w:r>
          </w:p>
        </w:tc>
      </w:tr>
      <w:tr w:rsidR="003E5B95" w:rsidRPr="00787B1F" w14:paraId="0033DB1E" w14:textId="77777777" w:rsidTr="00787B1F">
        <w:tc>
          <w:tcPr>
            <w:cnfStyle w:val="001000000000" w:firstRow="0" w:lastRow="0" w:firstColumn="1" w:lastColumn="0" w:oddVBand="0" w:evenVBand="0" w:oddHBand="0" w:evenHBand="0" w:firstRowFirstColumn="0" w:firstRowLastColumn="0" w:lastRowFirstColumn="0" w:lastRowLastColumn="0"/>
            <w:tcW w:w="540" w:type="dxa"/>
          </w:tcPr>
          <w:p w14:paraId="0432923E"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lastRenderedPageBreak/>
              <w:t>2.</w:t>
            </w:r>
          </w:p>
        </w:tc>
        <w:tc>
          <w:tcPr>
            <w:tcW w:w="2700" w:type="dxa"/>
            <w:tcBorders>
              <w:right w:val="single" w:sz="4" w:space="0" w:color="auto"/>
            </w:tcBorders>
          </w:tcPr>
          <w:p w14:paraId="2320FB0A" w14:textId="4AE11A65"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Articles containing the keyword</w:t>
            </w:r>
            <w:r w:rsidRPr="00787B1F">
              <w:rPr>
                <w:rFonts w:cs="Times New Roman"/>
                <w:bCs/>
                <w:color w:val="000000" w:themeColor="text1"/>
                <w:kern w:val="0"/>
                <w:szCs w:val="24"/>
                <w:lang w:eastAsia="en-US"/>
              </w:rPr>
              <w:t xml:space="preserve"> </w:t>
            </w:r>
            <w:r w:rsidRPr="00787B1F">
              <w:rPr>
                <w:rFonts w:cs="Times New Roman"/>
                <w:color w:val="000000" w:themeColor="text1"/>
                <w:kern w:val="0"/>
                <w:szCs w:val="24"/>
                <w:lang w:eastAsia="en-US"/>
              </w:rPr>
              <w:t>“coping”, but used in different meaning (such as verb or noun), articles using ‘coping theory’ but not related to stress (for example, coping resources, adaptive behaviors, adoption of security services such as email authentication, etc.) or articles explaining the coping efforts from IT security threat or the articles explaining coping mechanisms adopted by organizations to cope with rapidly changing information technology.</w:t>
            </w:r>
          </w:p>
          <w:p w14:paraId="434B700C"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p w14:paraId="401645C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3180308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C&amp;S = 5</w:t>
            </w:r>
          </w:p>
          <w:p w14:paraId="1DD24BDD"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6</w:t>
            </w:r>
          </w:p>
          <w:p w14:paraId="27B52631"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 2</w:t>
            </w:r>
          </w:p>
          <w:p w14:paraId="6B86F58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I&amp;M = 5</w:t>
            </w:r>
          </w:p>
          <w:p w14:paraId="3385F9B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ISJ = 7</w:t>
            </w:r>
          </w:p>
          <w:p w14:paraId="35C9817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ISR = 3</w:t>
            </w:r>
          </w:p>
          <w:p w14:paraId="0E78EE4E"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ITP = 7</w:t>
            </w:r>
          </w:p>
          <w:p w14:paraId="505AD6A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Computer Information Systems =1</w:t>
            </w:r>
          </w:p>
          <w:p w14:paraId="47EA17A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JAIS = 3</w:t>
            </w:r>
          </w:p>
          <w:p w14:paraId="7A9AC1C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JIT = 2</w:t>
            </w:r>
          </w:p>
          <w:p w14:paraId="1E08D42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JMIS = 2</w:t>
            </w:r>
          </w:p>
          <w:p w14:paraId="53BF7C29"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JSIS =1</w:t>
            </w:r>
          </w:p>
          <w:p w14:paraId="740B203C"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Information Security and Applications = 2</w:t>
            </w:r>
          </w:p>
          <w:p w14:paraId="69E09AD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DSS = 3</w:t>
            </w:r>
          </w:p>
          <w:p w14:paraId="68A17D2D" w14:textId="1250B434"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Decision Sciences = </w:t>
            </w:r>
            <w:r w:rsidR="005D47DC">
              <w:rPr>
                <w:rFonts w:cs="Times New Roman"/>
                <w:color w:val="000000" w:themeColor="text1"/>
                <w:kern w:val="0"/>
                <w:szCs w:val="24"/>
                <w:lang w:eastAsia="en-US"/>
              </w:rPr>
              <w:t>7</w:t>
            </w:r>
          </w:p>
        </w:tc>
        <w:tc>
          <w:tcPr>
            <w:tcW w:w="6115" w:type="dxa"/>
            <w:tcBorders>
              <w:left w:val="single" w:sz="4" w:space="0" w:color="auto"/>
            </w:tcBorders>
          </w:tcPr>
          <w:p w14:paraId="164C1B57"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C&amp;S</w:t>
            </w:r>
          </w:p>
          <w:p w14:paraId="00C192FB" w14:textId="58CDF68C"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(Niemimaa</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(Ucci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(Bachlechner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(Chiba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(Palmieri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Fiore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p>
          <w:p w14:paraId="1D30476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MISQ </w:t>
            </w:r>
          </w:p>
          <w:p w14:paraId="6030184D" w14:textId="39B289DA"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(Li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Sarkar</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(Mary 1993)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(Sykes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(Winkler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(Ortiz de Guinea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Webster</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(Chen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Zahedi</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30213E2B"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EJIS</w:t>
            </w:r>
          </w:p>
          <w:p w14:paraId="065AC0E8" w14:textId="0D214A0B"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(Ciriello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 Fang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r w:rsidRPr="00787B1F">
              <w:rPr>
                <w:rFonts w:cs="Times New Roman"/>
                <w:color w:val="000000" w:themeColor="text1"/>
                <w:kern w:val="0"/>
                <w:szCs w:val="24"/>
                <w:lang w:eastAsia="en-US"/>
              </w:rPr>
              <w:t xml:space="preserve"> </w:t>
            </w:r>
          </w:p>
          <w:p w14:paraId="62A72A1E"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I&amp;M</w:t>
            </w:r>
          </w:p>
          <w:p w14:paraId="4207B6B0" w14:textId="2AC7CADD"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(Lin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(Lin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(Camacho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(Gentina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Chen</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(Nazem</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1990)</w:t>
            </w:r>
          </w:p>
          <w:p w14:paraId="3CF8461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ISJ</w:t>
            </w:r>
          </w:p>
          <w:p w14:paraId="1BA5DD7D" w14:textId="6B6E2CAF"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(Schneider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(Chen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2020b)</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(Herath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(Chesney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(Kautz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(Mumford</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(Annabi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Lebovitz</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p>
          <w:p w14:paraId="452EC4EC"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ISR</w:t>
            </w:r>
          </w:p>
          <w:p w14:paraId="2E457AA3" w14:textId="223ABE3A"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(Jones et al.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(Burns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(Lederer</w:t>
            </w:r>
            <w:r w:rsidR="00AD5D3F">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 xml:space="preserve"> Mendelow</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1990)</w:t>
            </w:r>
          </w:p>
          <w:p w14:paraId="3A7E7E15"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ITP</w:t>
            </w:r>
          </w:p>
          <w:p w14:paraId="21B7AE51" w14:textId="53F62520"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(Chen</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Roberts</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(Bunduchi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(Introna</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Whitley</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(Rowlands</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(Kallinikos</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(Ciborra Claudio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Hanseth</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(Marie-Claude</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Daniel</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1996)</w:t>
            </w:r>
          </w:p>
          <w:p w14:paraId="1EA7263B"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Computer Information Systems</w:t>
            </w:r>
          </w:p>
          <w:p w14:paraId="0D725FE2" w14:textId="726ACECA"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(Moquin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Wakefiel</w:t>
            </w:r>
            <w:r w:rsidR="00AD5D3F">
              <w:rPr>
                <w:rFonts w:cs="Times New Roman"/>
                <w:noProof/>
                <w:color w:val="000000" w:themeColor="text1"/>
                <w:kern w:val="0"/>
                <w:szCs w:val="24"/>
                <w:lang w:eastAsia="en-US"/>
              </w:rPr>
              <w:t xml:space="preserve">d, </w:t>
            </w:r>
            <w:r w:rsidRPr="00787B1F">
              <w:rPr>
                <w:rFonts w:cs="Times New Roman"/>
                <w:noProof/>
                <w:color w:val="000000" w:themeColor="text1"/>
                <w:kern w:val="0"/>
                <w:szCs w:val="24"/>
                <w:lang w:eastAsia="en-US"/>
              </w:rPr>
              <w:t>2016)</w:t>
            </w:r>
          </w:p>
          <w:p w14:paraId="77D50849"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JAIS</w:t>
            </w:r>
          </w:p>
          <w:p w14:paraId="42ABD8A6" w14:textId="513921C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(Yi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(Zahedi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(Ridings</w:t>
            </w:r>
            <w:r w:rsidR="00AD5D3F">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Wasko</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2010)</w:t>
            </w:r>
          </w:p>
          <w:p w14:paraId="55A3232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JIT</w:t>
            </w:r>
          </w:p>
          <w:p w14:paraId="6E88A0FA" w14:textId="33B359B6"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(Rohde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(Fitzgerald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Murphy</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1994)</w:t>
            </w:r>
          </w:p>
          <w:p w14:paraId="0A9482CC"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JMIS</w:t>
            </w:r>
          </w:p>
          <w:p w14:paraId="7E6A75D7" w14:textId="1E795641"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(Silic</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Lowry</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(Ren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2008)</w:t>
            </w:r>
          </w:p>
          <w:p w14:paraId="5537BFF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JSIS</w:t>
            </w:r>
          </w:p>
          <w:p w14:paraId="56CCB1DC" w14:textId="2FEEBFA6"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(Thiesse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2007)</w:t>
            </w:r>
          </w:p>
          <w:p w14:paraId="05D02F2D"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Information Security and Applications</w:t>
            </w:r>
          </w:p>
          <w:p w14:paraId="1EAE7431" w14:textId="77726AC4"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(Wolf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(Gerber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p>
          <w:p w14:paraId="25AC4109"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DSS</w:t>
            </w:r>
          </w:p>
          <w:p w14:paraId="5C47C9D0" w14:textId="3B626759"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(Lai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(Li</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(Li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p>
          <w:p w14:paraId="49161EB5"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Decision Science</w:t>
            </w:r>
          </w:p>
          <w:p w14:paraId="70A4E00A" w14:textId="78A47844"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(Solomon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(Tenhiälä</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Salvador</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(Hsu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(Mähring </w:t>
            </w:r>
            <w:r w:rsidR="00AD5D3F">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Keil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(Field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(Vakharia</w:t>
            </w:r>
            <w:r w:rsidR="00AD5D3F">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 xml:space="preserve"> Kaku</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(Flynn</w:t>
            </w:r>
            <w:r w:rsidR="00AD5D3F">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Flynn</w:t>
            </w:r>
            <w:r w:rsidR="00AD5D3F">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1999)</w:t>
            </w:r>
          </w:p>
        </w:tc>
      </w:tr>
      <w:tr w:rsidR="003E5B95" w:rsidRPr="00787B1F" w14:paraId="20324AB4" w14:textId="77777777" w:rsidTr="00787B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14:paraId="6069CE8F"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lastRenderedPageBreak/>
              <w:t>3.</w:t>
            </w:r>
          </w:p>
        </w:tc>
        <w:tc>
          <w:tcPr>
            <w:tcW w:w="2700" w:type="dxa"/>
            <w:tcBorders>
              <w:right w:val="single" w:sz="4" w:space="0" w:color="auto"/>
            </w:tcBorders>
          </w:tcPr>
          <w:p w14:paraId="56263AC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Articles containing the keyword “appraisal”, but used in different meanings (e.g., verb, noun) or used the word appraisal in the context of performance appraisal, appraisal theory, appraisal theory framework, electronic appraisal system, peer appraisal, appraisal in online communities, etc.</w:t>
            </w:r>
          </w:p>
          <w:p w14:paraId="13AA1C6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p w14:paraId="00100D5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02DC4A07"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C&amp;S = 2</w:t>
            </w:r>
          </w:p>
          <w:p w14:paraId="5810A158"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3</w:t>
            </w:r>
          </w:p>
          <w:p w14:paraId="110A9A50"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=2</w:t>
            </w:r>
          </w:p>
          <w:p w14:paraId="5ECE9B32"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I&amp;M = 5</w:t>
            </w:r>
          </w:p>
          <w:p w14:paraId="3724A67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ISJ = 4</w:t>
            </w:r>
          </w:p>
          <w:p w14:paraId="141383F2"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ISR =3</w:t>
            </w:r>
          </w:p>
          <w:p w14:paraId="4BB9846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ITP = 5</w:t>
            </w:r>
          </w:p>
          <w:p w14:paraId="271A153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ISC = 1</w:t>
            </w:r>
          </w:p>
          <w:p w14:paraId="2EAC29E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Computer Information Systems = 2</w:t>
            </w:r>
          </w:p>
          <w:p w14:paraId="1DD1789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JAIS = 2</w:t>
            </w:r>
          </w:p>
          <w:p w14:paraId="080BE64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JIT = 6</w:t>
            </w:r>
          </w:p>
          <w:p w14:paraId="4B8D7507"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JMIS = 5</w:t>
            </w:r>
          </w:p>
          <w:p w14:paraId="0CCF5B7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Information Security and Applications = 0</w:t>
            </w:r>
          </w:p>
          <w:p w14:paraId="09F4E0D7"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DSS = 5</w:t>
            </w:r>
          </w:p>
          <w:p w14:paraId="12624E3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Decision Sciences = 4</w:t>
            </w:r>
          </w:p>
        </w:tc>
        <w:tc>
          <w:tcPr>
            <w:tcW w:w="6115" w:type="dxa"/>
            <w:tcBorders>
              <w:left w:val="single" w:sz="4" w:space="0" w:color="auto"/>
            </w:tcBorders>
          </w:tcPr>
          <w:p w14:paraId="605F004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Computers &amp; Security</w:t>
            </w:r>
          </w:p>
          <w:p w14:paraId="379A6009" w14:textId="7C883B6A"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(Schultz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2001)</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(Hinde</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1998)</w:t>
            </w:r>
          </w:p>
          <w:p w14:paraId="3863149C"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MISQ</w:t>
            </w:r>
          </w:p>
          <w:p w14:paraId="4C1A6842" w14:textId="7264E89E"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(Lee et al.</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00DF093B">
              <w:rPr>
                <w:rFonts w:cs="Times New Roman"/>
                <w:noProof/>
                <w:color w:val="000000" w:themeColor="text1"/>
                <w:kern w:val="0"/>
                <w:szCs w:val="24"/>
                <w:lang w:eastAsia="en-US"/>
              </w:rPr>
              <w:t>) (</w:t>
            </w:r>
            <w:r w:rsidRPr="00787B1F">
              <w:rPr>
                <w:rFonts w:cs="Times New Roman"/>
                <w:noProof/>
                <w:color w:val="000000" w:themeColor="text1"/>
                <w:kern w:val="0"/>
                <w:szCs w:val="24"/>
                <w:lang w:eastAsia="en-US"/>
              </w:rPr>
              <w:t xml:space="preserve">Newman </w:t>
            </w:r>
            <w:r w:rsidR="00AD5D3F">
              <w:rPr>
                <w:rFonts w:cs="Times New Roman"/>
                <w:noProof/>
                <w:color w:val="000000" w:themeColor="text1"/>
                <w:kern w:val="0"/>
                <w:szCs w:val="24"/>
                <w:lang w:eastAsia="en-US"/>
              </w:rPr>
              <w:t>&amp;</w:t>
            </w:r>
            <w:r w:rsidRPr="00787B1F">
              <w:rPr>
                <w:rFonts w:cs="Times New Roman"/>
                <w:noProof/>
                <w:color w:val="000000" w:themeColor="text1"/>
                <w:kern w:val="0"/>
                <w:szCs w:val="24"/>
                <w:lang w:eastAsia="en-US"/>
              </w:rPr>
              <w:t xml:space="preserve"> Kozar</w:t>
            </w:r>
            <w:r w:rsidR="00AD5D3F">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1994</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Templeton</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Lewis</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2015)</w:t>
            </w:r>
          </w:p>
          <w:p w14:paraId="2C1E7FAC"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EJIS</w:t>
            </w:r>
          </w:p>
          <w:p w14:paraId="2914BF34" w14:textId="0C428EBE"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(Lee</w:t>
            </w:r>
            <w:r w:rsidR="00DF093B">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 xml:space="preserve"> Keil</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(Sharma</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Rai</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p>
          <w:p w14:paraId="1BF7FFF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I&amp;M</w:t>
            </w:r>
          </w:p>
          <w:p w14:paraId="1422700F" w14:textId="0E9E11ED"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(Xu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(Sutanto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Jiang</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(Walters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(Bento</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(Joseph</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Blanton</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1992)</w:t>
            </w:r>
          </w:p>
          <w:p w14:paraId="0831A91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ISJ</w:t>
            </w:r>
          </w:p>
          <w:p w14:paraId="742FE529" w14:textId="345541F3"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(Irani et al.</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2005a)</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(Counihan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2002; Murungi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(Beijsterveld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Groenendaal</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2016)</w:t>
            </w:r>
          </w:p>
          <w:p w14:paraId="6C775CF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ISR</w:t>
            </w:r>
          </w:p>
          <w:p w14:paraId="3A3742EE" w14:textId="2FCC93CA"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kern w:val="0"/>
                <w:szCs w:val="24"/>
                <w:lang w:eastAsia="en-US"/>
              </w:rPr>
            </w:pPr>
            <w:r w:rsidRPr="00787B1F">
              <w:rPr>
                <w:rFonts w:cs="Times New Roman"/>
                <w:noProof/>
                <w:color w:val="000000" w:themeColor="text1"/>
                <w:kern w:val="0"/>
                <w:szCs w:val="24"/>
                <w:lang w:eastAsia="en-US"/>
              </w:rPr>
              <w:t>Santhanam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 (Jarvenpaa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Majchrzak</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2010) (Lim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2000)</w:t>
            </w:r>
          </w:p>
          <w:p w14:paraId="750F896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noProof/>
                <w:color w:val="000000" w:themeColor="text1"/>
                <w:kern w:val="0"/>
                <w:szCs w:val="24"/>
                <w:lang w:eastAsia="en-US"/>
              </w:rPr>
            </w:pPr>
            <w:r w:rsidRPr="00787B1F">
              <w:rPr>
                <w:rFonts w:cs="Times New Roman"/>
                <w:bCs/>
                <w:noProof/>
                <w:color w:val="000000" w:themeColor="text1"/>
                <w:kern w:val="0"/>
                <w:szCs w:val="24"/>
                <w:lang w:eastAsia="en-US"/>
              </w:rPr>
              <w:t>ITP</w:t>
            </w:r>
          </w:p>
          <w:p w14:paraId="70168E80" w14:textId="068185F9"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noProof/>
                <w:color w:val="000000" w:themeColor="text1"/>
                <w:kern w:val="0"/>
                <w:szCs w:val="24"/>
                <w:lang w:eastAsia="en-US"/>
              </w:rPr>
            </w:pPr>
            <w:r w:rsidRPr="00787B1F">
              <w:rPr>
                <w:rFonts w:cs="Times New Roman"/>
                <w:noProof/>
                <w:color w:val="000000" w:themeColor="text1"/>
                <w:kern w:val="0"/>
                <w:szCs w:val="24"/>
                <w:lang w:eastAsia="en-US"/>
              </w:rPr>
              <w:t>(de Kervenoael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 (Kidd</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 (Kautz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Åby Larsen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2000) (Ciborra Claudio </w:t>
            </w:r>
            <w:r w:rsidR="00DF093B">
              <w:rPr>
                <w:rFonts w:cs="Times New Roman"/>
                <w:noProof/>
                <w:color w:val="000000" w:themeColor="text1"/>
                <w:kern w:val="0"/>
                <w:szCs w:val="24"/>
                <w:lang w:eastAsia="en-US"/>
              </w:rPr>
              <w:t>&amp;</w:t>
            </w:r>
            <w:r w:rsidRPr="00787B1F">
              <w:rPr>
                <w:rFonts w:cs="Times New Roman"/>
                <w:noProof/>
                <w:color w:val="000000" w:themeColor="text1"/>
                <w:kern w:val="0"/>
                <w:szCs w:val="24"/>
                <w:lang w:eastAsia="en-US"/>
              </w:rPr>
              <w:t xml:space="preserve"> Hanseth</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1998) (Dubé</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 xml:space="preserve">1998) </w:t>
            </w:r>
          </w:p>
          <w:p w14:paraId="2C65C84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noProof/>
                <w:color w:val="000000" w:themeColor="text1"/>
                <w:kern w:val="0"/>
                <w:szCs w:val="24"/>
                <w:lang w:eastAsia="en-US"/>
              </w:rPr>
            </w:pPr>
            <w:r w:rsidRPr="00787B1F">
              <w:rPr>
                <w:rFonts w:cs="Times New Roman"/>
                <w:bCs/>
                <w:noProof/>
                <w:color w:val="000000" w:themeColor="text1"/>
                <w:kern w:val="0"/>
                <w:szCs w:val="24"/>
                <w:lang w:eastAsia="en-US"/>
              </w:rPr>
              <w:t>ICS</w:t>
            </w:r>
          </w:p>
          <w:p w14:paraId="57C1F8EE" w14:textId="7F9C5F2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(Chen</w:t>
            </w:r>
            <w:r w:rsidR="00DF093B">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 xml:space="preserve"> Li</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p>
          <w:p w14:paraId="47779CD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Computer Information Systems</w:t>
            </w:r>
          </w:p>
          <w:p w14:paraId="52C826BD" w14:textId="378F2199"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(Church</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Thambusamy</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(Reychav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63830390"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noProof/>
                <w:color w:val="000000" w:themeColor="text1"/>
                <w:kern w:val="0"/>
                <w:szCs w:val="24"/>
                <w:lang w:eastAsia="en-US"/>
              </w:rPr>
            </w:pPr>
            <w:r w:rsidRPr="00787B1F">
              <w:rPr>
                <w:rFonts w:cs="Times New Roman"/>
                <w:bCs/>
                <w:noProof/>
                <w:color w:val="000000" w:themeColor="text1"/>
                <w:kern w:val="0"/>
                <w:szCs w:val="24"/>
                <w:lang w:eastAsia="en-US"/>
              </w:rPr>
              <w:t>JAIS</w:t>
            </w:r>
          </w:p>
          <w:p w14:paraId="342CA286" w14:textId="4AEEE29C"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(Hirschheim</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2007</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Park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p>
          <w:p w14:paraId="2F63C82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JIT</w:t>
            </w:r>
          </w:p>
          <w:p w14:paraId="220208A3" w14:textId="6C795372"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(Karpovsky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Galliers</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(Renkema</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(Ballantine</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Stray</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(King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McAulay</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(Ewusi-Mensah</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Przasnyski</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(Farbey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1992)</w:t>
            </w:r>
          </w:p>
          <w:p w14:paraId="43121CD9" w14:textId="54699F83"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bCs/>
                <w:color w:val="000000" w:themeColor="text1"/>
                <w:kern w:val="0"/>
                <w:szCs w:val="24"/>
                <w:lang w:eastAsia="en-US"/>
              </w:rPr>
              <w:t>JMIS</w:t>
            </w:r>
            <w:r w:rsidRPr="00787B1F">
              <w:rPr>
                <w:rFonts w:cs="Times New Roman"/>
                <w:color w:val="000000" w:themeColor="text1"/>
                <w:kern w:val="0"/>
                <w:szCs w:val="24"/>
                <w:lang w:eastAsia="en-US"/>
              </w:rPr>
              <w:br/>
            </w:r>
            <w:r w:rsidRPr="00787B1F">
              <w:rPr>
                <w:rFonts w:cs="Times New Roman"/>
                <w:noProof/>
                <w:color w:val="000000" w:themeColor="text1"/>
                <w:kern w:val="0"/>
                <w:szCs w:val="24"/>
                <w:lang w:eastAsia="en-US"/>
              </w:rPr>
              <w:t xml:space="preserve">(Jha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Shah</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(Posey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(Berger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(Yu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(Lee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Chen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p w14:paraId="28E97D30"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DSS </w:t>
            </w:r>
          </w:p>
          <w:p w14:paraId="20745170" w14:textId="781F817D"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(Pournarakis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(Ferretti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Montibeller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(Li</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Lai</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(Macharis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(Barfod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p w14:paraId="2964F59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Decision Science </w:t>
            </w:r>
          </w:p>
          <w:p w14:paraId="212EEC77" w14:textId="4B0FB0FC"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(Foster Jr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Adam Jr</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1996)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(Moore</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1992)</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(Warren</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Nicholls</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(Rebne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Berger Davidson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1992)</w:t>
            </w:r>
          </w:p>
        </w:tc>
      </w:tr>
      <w:tr w:rsidR="003E5B95" w:rsidRPr="00787B1F" w14:paraId="55B65FB9" w14:textId="77777777" w:rsidTr="00787B1F">
        <w:tc>
          <w:tcPr>
            <w:cnfStyle w:val="001000000000" w:firstRow="0" w:lastRow="0" w:firstColumn="1" w:lastColumn="0" w:oddVBand="0" w:evenVBand="0" w:oddHBand="0" w:evenHBand="0" w:firstRowFirstColumn="0" w:firstRowLastColumn="0" w:lastRowFirstColumn="0" w:lastRowLastColumn="0"/>
            <w:tcW w:w="540" w:type="dxa"/>
          </w:tcPr>
          <w:p w14:paraId="44689B14"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4.</w:t>
            </w:r>
          </w:p>
        </w:tc>
        <w:tc>
          <w:tcPr>
            <w:tcW w:w="2700" w:type="dxa"/>
            <w:tcBorders>
              <w:right w:val="single" w:sz="4" w:space="0" w:color="auto"/>
            </w:tcBorders>
          </w:tcPr>
          <w:p w14:paraId="7C12373D"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Articles containing the keyword “strain”, but used in different meanings (e.g., verb, noun) or related with something other than an individual (such as </w:t>
            </w:r>
            <w:r w:rsidRPr="00787B1F">
              <w:rPr>
                <w:rFonts w:cs="Times New Roman"/>
                <w:color w:val="000000" w:themeColor="text1"/>
                <w:kern w:val="0"/>
                <w:szCs w:val="24"/>
                <w:lang w:eastAsia="en-US"/>
              </w:rPr>
              <w:lastRenderedPageBreak/>
              <w:t>organization under strain due to economic hardship, ransomware strain, banking stress, etc.)</w:t>
            </w:r>
          </w:p>
          <w:p w14:paraId="61DE0B5B"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p w14:paraId="1E6686FD"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5E55651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2</w:t>
            </w:r>
          </w:p>
          <w:p w14:paraId="0D13DA4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I&amp;M = 2</w:t>
            </w:r>
          </w:p>
          <w:p w14:paraId="4DA9B51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Journal of Computer </w:t>
            </w:r>
          </w:p>
          <w:p w14:paraId="0295821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JAIS = 1</w:t>
            </w:r>
          </w:p>
          <w:p w14:paraId="3CAC3F17"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JSIS = 1</w:t>
            </w:r>
          </w:p>
          <w:p w14:paraId="36FD1892"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Information Security and Applications = 1</w:t>
            </w:r>
          </w:p>
          <w:p w14:paraId="0B261274" w14:textId="65FB080B"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DSS = 2</w:t>
            </w:r>
          </w:p>
        </w:tc>
        <w:tc>
          <w:tcPr>
            <w:tcW w:w="6115" w:type="dxa"/>
            <w:tcBorders>
              <w:left w:val="single" w:sz="4" w:space="0" w:color="auto"/>
            </w:tcBorders>
          </w:tcPr>
          <w:p w14:paraId="4E9E96C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lastRenderedPageBreak/>
              <w:t>MISQ</w:t>
            </w:r>
          </w:p>
          <w:p w14:paraId="350B1155" w14:textId="0F8E2301"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(Street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Meister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2004</w:t>
            </w:r>
            <w:r w:rsidR="00DF093B">
              <w:rPr>
                <w:rFonts w:cs="Times New Roman"/>
                <w:noProof/>
                <w:color w:val="000000" w:themeColor="text1"/>
                <w:kern w:val="0"/>
                <w:szCs w:val="24"/>
                <w:lang w:eastAsia="en-US"/>
              </w:rPr>
              <w:t>) (</w:t>
            </w:r>
            <w:r w:rsidRPr="00787B1F">
              <w:rPr>
                <w:rFonts w:cs="Times New Roman"/>
                <w:noProof/>
                <w:color w:val="000000" w:themeColor="text1"/>
                <w:kern w:val="0"/>
                <w:szCs w:val="24"/>
                <w:lang w:eastAsia="en-US"/>
              </w:rPr>
              <w:t>Weber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2004)</w:t>
            </w:r>
          </w:p>
          <w:p w14:paraId="04A4B6D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I&amp;M</w:t>
            </w:r>
          </w:p>
          <w:p w14:paraId="3E06D1C3" w14:textId="30113BBD"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(Zhang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(Zhang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Leidner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p>
          <w:p w14:paraId="26A9EB2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JAIS</w:t>
            </w:r>
          </w:p>
          <w:p w14:paraId="5FAEEB51" w14:textId="202D8852"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(Wall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p>
          <w:p w14:paraId="54866C73"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JSIS</w:t>
            </w:r>
          </w:p>
          <w:p w14:paraId="43FB5271" w14:textId="2F43ECA2"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lastRenderedPageBreak/>
              <w:t xml:space="preserve">(Hosein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Whitley</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2002)</w:t>
            </w:r>
          </w:p>
          <w:p w14:paraId="1B968AA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Information Security and Applications</w:t>
            </w:r>
          </w:p>
          <w:p w14:paraId="7951D4B9" w14:textId="5BD9D39F"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(Hampton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p>
          <w:p w14:paraId="535AB5E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DSS</w:t>
            </w:r>
          </w:p>
          <w:p w14:paraId="5A01C3D3" w14:textId="49987413"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(Yang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2013)</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(Park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10C24C1F"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Decision Science </w:t>
            </w:r>
          </w:p>
          <w:p w14:paraId="08EF0C45" w14:textId="3E8AA16F"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(Wertheim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Lynn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1993)</w:t>
            </w:r>
          </w:p>
        </w:tc>
      </w:tr>
      <w:tr w:rsidR="003E5B95" w:rsidRPr="00787B1F" w14:paraId="2F707729" w14:textId="77777777" w:rsidTr="00787B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14:paraId="50831FF0"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lastRenderedPageBreak/>
              <w:t>5.</w:t>
            </w:r>
          </w:p>
        </w:tc>
        <w:tc>
          <w:tcPr>
            <w:tcW w:w="2700" w:type="dxa"/>
            <w:tcBorders>
              <w:right w:val="single" w:sz="4" w:space="0" w:color="auto"/>
            </w:tcBorders>
          </w:tcPr>
          <w:p w14:paraId="516D0AF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Articles containing the keyword appraisal and coping, but not directly related to stress. These articles included words such as threat appraisal, fear appraisal, cognitive appraisal, affective appraisal, and coping appraisal (For example, coping with information systems security risk, adoption of antimalware software, etc.)</w:t>
            </w:r>
          </w:p>
          <w:p w14:paraId="5F4A51D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p w14:paraId="4133649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6BA72F3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Computers &amp; Security = 3</w:t>
            </w:r>
          </w:p>
          <w:p w14:paraId="07CAADC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2</w:t>
            </w:r>
          </w:p>
          <w:p w14:paraId="057903F6"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 1</w:t>
            </w:r>
          </w:p>
          <w:p w14:paraId="0E9999FC"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I&amp;M = 9</w:t>
            </w:r>
          </w:p>
          <w:p w14:paraId="35B5131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ISJ = 1</w:t>
            </w:r>
          </w:p>
          <w:p w14:paraId="7EA947B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ITP = 1</w:t>
            </w:r>
          </w:p>
          <w:p w14:paraId="3F304D4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JAIS =1</w:t>
            </w:r>
          </w:p>
          <w:p w14:paraId="3B129AD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DSS = 2</w:t>
            </w:r>
          </w:p>
        </w:tc>
        <w:tc>
          <w:tcPr>
            <w:tcW w:w="6115" w:type="dxa"/>
            <w:tcBorders>
              <w:left w:val="single" w:sz="4" w:space="0" w:color="auto"/>
            </w:tcBorders>
          </w:tcPr>
          <w:p w14:paraId="53CB7E27"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C&amp;S</w:t>
            </w:r>
          </w:p>
          <w:p w14:paraId="40B379A8" w14:textId="01A32DDC"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(Tsai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(Marett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(Safa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p>
          <w:p w14:paraId="404EF38E"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MISQ</w:t>
            </w:r>
          </w:p>
          <w:p w14:paraId="2FE25A0A" w14:textId="5E6A5116"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(Straub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Welk</w:t>
            </w:r>
            <w:r w:rsidR="00DF093B">
              <w:rPr>
                <w:rFonts w:cs="Times New Roman"/>
                <w:noProof/>
                <w:color w:val="000000" w:themeColor="text1"/>
                <w:kern w:val="0"/>
                <w:szCs w:val="24"/>
                <w:lang w:eastAsia="en-US"/>
              </w:rPr>
              <w:t xml:space="preserve">e, </w:t>
            </w:r>
            <w:r w:rsidRPr="00787B1F">
              <w:rPr>
                <w:rFonts w:cs="Times New Roman"/>
                <w:noProof/>
                <w:color w:val="000000" w:themeColor="text1"/>
                <w:kern w:val="0"/>
                <w:szCs w:val="24"/>
                <w:lang w:eastAsia="en-US"/>
              </w:rPr>
              <w:t>1998)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(Liang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Xue</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p>
          <w:p w14:paraId="19A5081A"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EJIS</w:t>
            </w:r>
          </w:p>
          <w:p w14:paraId="6B349872" w14:textId="57DC9B8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(Lee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Larsen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p>
          <w:p w14:paraId="5BC946CC"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I&amp;M</w:t>
            </w:r>
          </w:p>
          <w:p w14:paraId="53ADE3D7" w14:textId="5EDCDDF8"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(Crossler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(Zhang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(Hua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(Tu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(Wall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Warkentin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(Li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(Carillo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(Lee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Kozar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(Éthier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2008)</w:t>
            </w:r>
          </w:p>
          <w:p w14:paraId="510A7FE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ITP</w:t>
            </w:r>
          </w:p>
          <w:p w14:paraId="1AD8AD3D" w14:textId="5A3C5912"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(Wang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p>
          <w:p w14:paraId="057AB01E"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ISJ</w:t>
            </w:r>
          </w:p>
          <w:p w14:paraId="4EC30FCB" w14:textId="5831E98B"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(Chen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2020a)</w:t>
            </w:r>
          </w:p>
          <w:p w14:paraId="2C41AE9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JAIS</w:t>
            </w:r>
          </w:p>
          <w:p w14:paraId="6ED4D55D" w14:textId="0DD969D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(Warkentin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760A3530"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DSS </w:t>
            </w:r>
          </w:p>
          <w:p w14:paraId="00A75B91" w14:textId="0283ABF0"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(Grimes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Marquardson</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(Lee</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tc>
      </w:tr>
      <w:tr w:rsidR="003E5B95" w:rsidRPr="00787B1F" w14:paraId="7ED01117" w14:textId="77777777" w:rsidTr="00787B1F">
        <w:tc>
          <w:tcPr>
            <w:cnfStyle w:val="001000000000" w:firstRow="0" w:lastRow="0" w:firstColumn="1" w:lastColumn="0" w:oddVBand="0" w:evenVBand="0" w:oddHBand="0" w:evenHBand="0" w:firstRowFirstColumn="0" w:firstRowLastColumn="0" w:lastRowFirstColumn="0" w:lastRowLastColumn="0"/>
            <w:tcW w:w="540" w:type="dxa"/>
          </w:tcPr>
          <w:p w14:paraId="08981D31"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6.</w:t>
            </w:r>
          </w:p>
        </w:tc>
        <w:tc>
          <w:tcPr>
            <w:tcW w:w="2700" w:type="dxa"/>
            <w:tcBorders>
              <w:right w:val="single" w:sz="4" w:space="0" w:color="auto"/>
            </w:tcBorders>
          </w:tcPr>
          <w:p w14:paraId="4EA48FBE"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Articles containing the keyword work exhaustion or burnout but </w:t>
            </w:r>
            <w:r w:rsidRPr="00787B1F">
              <w:rPr>
                <w:rFonts w:cs="Times New Roman"/>
                <w:color w:val="000000" w:themeColor="text1"/>
                <w:kern w:val="0"/>
                <w:szCs w:val="24"/>
                <w:lang w:eastAsia="en-US"/>
              </w:rPr>
              <w:lastRenderedPageBreak/>
              <w:t>are not related to work context or context of the review (for example, the effect of children’s internet addiction of parents’ job outcomes, exhaustion due to privacy fatigue, etc.)</w:t>
            </w:r>
          </w:p>
          <w:p w14:paraId="1A2B514B"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 </w:t>
            </w:r>
          </w:p>
          <w:p w14:paraId="0ADA5D33"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763634C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Computers in Human Behavior = 6</w:t>
            </w:r>
          </w:p>
          <w:p w14:paraId="1893D2E5"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1</w:t>
            </w:r>
          </w:p>
          <w:p w14:paraId="7A0E66F1"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Journal of Computer Information Systems = 1</w:t>
            </w:r>
          </w:p>
        </w:tc>
        <w:tc>
          <w:tcPr>
            <w:tcW w:w="6115" w:type="dxa"/>
            <w:tcBorders>
              <w:left w:val="single" w:sz="4" w:space="0" w:color="auto"/>
            </w:tcBorders>
          </w:tcPr>
          <w:p w14:paraId="15901DE5"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lastRenderedPageBreak/>
              <w:t>Computers in Human Behavior</w:t>
            </w:r>
          </w:p>
          <w:p w14:paraId="54D794DC" w14:textId="6209D4AD"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lastRenderedPageBreak/>
              <w:t>(Choi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2018)</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(Luqman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(Lim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Yang</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(Campos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 xml:space="preserve">(Yang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Farn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(Bonini Campos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2011)</w:t>
            </w:r>
          </w:p>
          <w:p w14:paraId="6D769E60"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MISQ</w:t>
            </w:r>
          </w:p>
          <w:p w14:paraId="7AA6BCA3" w14:textId="2E30E85C"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(Venkatesh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p>
          <w:p w14:paraId="699FAB7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Journal of Computer Information Systems:</w:t>
            </w:r>
          </w:p>
          <w:p w14:paraId="2D8267AD" w14:textId="4496C155"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(Han</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2018)</w:t>
            </w:r>
          </w:p>
        </w:tc>
      </w:tr>
      <w:tr w:rsidR="003E5B95" w:rsidRPr="00787B1F" w14:paraId="47E4F140" w14:textId="77777777" w:rsidTr="00787B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14:paraId="0F2C96DF"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lastRenderedPageBreak/>
              <w:t>7.</w:t>
            </w:r>
          </w:p>
        </w:tc>
        <w:tc>
          <w:tcPr>
            <w:tcW w:w="2700" w:type="dxa"/>
            <w:tcBorders>
              <w:right w:val="single" w:sz="4" w:space="0" w:color="auto"/>
            </w:tcBorders>
          </w:tcPr>
          <w:p w14:paraId="3CA491B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Articles having the keyword technostress but not related to work-context. Examples of articles in this category include the one which is related to technostress in social networking sites or burnout in students.</w:t>
            </w:r>
          </w:p>
          <w:p w14:paraId="10764BB5"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p w14:paraId="254323C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1BBFD4D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Computers in Human Behavior = 7</w:t>
            </w:r>
          </w:p>
          <w:p w14:paraId="2955369D"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ISJ = 2</w:t>
            </w:r>
          </w:p>
        </w:tc>
        <w:tc>
          <w:tcPr>
            <w:tcW w:w="6115" w:type="dxa"/>
            <w:tcBorders>
              <w:left w:val="single" w:sz="4" w:space="0" w:color="auto"/>
            </w:tcBorders>
          </w:tcPr>
          <w:p w14:paraId="451CFE33"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Computers in Human Behavior</w:t>
            </w:r>
          </w:p>
          <w:p w14:paraId="0450CA37" w14:textId="6220E25F"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bCs/>
                <w:noProof/>
                <w:color w:val="000000" w:themeColor="text1"/>
                <w:kern w:val="0"/>
                <w:szCs w:val="24"/>
                <w:lang w:eastAsia="en-US"/>
              </w:rPr>
              <w:t>(</w:t>
            </w:r>
            <w:r w:rsidRPr="00787B1F">
              <w:rPr>
                <w:rFonts w:cs="Times New Roman"/>
                <w:noProof/>
                <w:color w:val="000000" w:themeColor="text1"/>
                <w:kern w:val="0"/>
                <w:szCs w:val="24"/>
                <w:lang w:eastAsia="en-US"/>
              </w:rPr>
              <w:t>Hietajarvi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bCs/>
                <w:color w:val="000000" w:themeColor="text1"/>
                <w:kern w:val="0"/>
                <w:szCs w:val="24"/>
                <w:lang w:eastAsia="en-US"/>
              </w:rPr>
              <w:t xml:space="preserve"> </w:t>
            </w:r>
            <w:r w:rsidRPr="00787B1F">
              <w:rPr>
                <w:rFonts w:cs="Times New Roman"/>
                <w:noProof/>
                <w:color w:val="000000" w:themeColor="text1"/>
                <w:kern w:val="0"/>
                <w:szCs w:val="24"/>
                <w:lang w:eastAsia="en-US"/>
              </w:rPr>
              <w:t xml:space="preserve">(Yao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Cao</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(Steelman</w:t>
            </w:r>
            <w:r w:rsidR="00DF093B">
              <w:rPr>
                <w:rFonts w:cs="Times New Roman"/>
                <w:noProof/>
                <w:color w:val="000000" w:themeColor="text1"/>
                <w:kern w:val="0"/>
                <w:szCs w:val="24"/>
                <w:lang w:eastAsia="en-US"/>
              </w:rPr>
              <w:t xml:space="preserve"> &amp;</w:t>
            </w:r>
            <w:r w:rsidRPr="00787B1F">
              <w:rPr>
                <w:rFonts w:cs="Times New Roman"/>
                <w:noProof/>
                <w:color w:val="000000" w:themeColor="text1"/>
                <w:kern w:val="0"/>
                <w:szCs w:val="24"/>
                <w:lang w:eastAsia="en-US"/>
              </w:rPr>
              <w:t xml:space="preserve"> Soror</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(Yu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2017)</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(Lee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2014)</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(Brooks</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2015)</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(Zheng</w:t>
            </w:r>
            <w:r w:rsidR="00DF093B">
              <w:rPr>
                <w:rFonts w:cs="Times New Roman"/>
                <w:noProof/>
                <w:color w:val="000000" w:themeColor="text1"/>
                <w:kern w:val="0"/>
                <w:szCs w:val="24"/>
                <w:lang w:eastAsia="en-US"/>
              </w:rPr>
              <w:t xml:space="preserve"> &amp; </w:t>
            </w:r>
            <w:r w:rsidRPr="00787B1F">
              <w:rPr>
                <w:rFonts w:cs="Times New Roman"/>
                <w:noProof/>
                <w:color w:val="000000" w:themeColor="text1"/>
                <w:kern w:val="0"/>
                <w:szCs w:val="24"/>
                <w:lang w:eastAsia="en-US"/>
              </w:rPr>
              <w:t>Lee</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2A6A51BC"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ISJ</w:t>
            </w:r>
          </w:p>
          <w:p w14:paraId="4BCE6426" w14:textId="584D7A31"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(Tarafdar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2020)</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(Salo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(Maier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w:t>
            </w:r>
          </w:p>
        </w:tc>
      </w:tr>
      <w:tr w:rsidR="003E5B95" w:rsidRPr="00787B1F" w14:paraId="21357B79" w14:textId="77777777" w:rsidTr="00787B1F">
        <w:tc>
          <w:tcPr>
            <w:cnfStyle w:val="001000000000" w:firstRow="0" w:lastRow="0" w:firstColumn="1" w:lastColumn="0" w:oddVBand="0" w:evenVBand="0" w:oddHBand="0" w:evenHBand="0" w:firstRowFirstColumn="0" w:firstRowLastColumn="0" w:lastRowFirstColumn="0" w:lastRowLastColumn="0"/>
            <w:tcW w:w="540" w:type="dxa"/>
          </w:tcPr>
          <w:p w14:paraId="35081039"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8.</w:t>
            </w:r>
          </w:p>
        </w:tc>
        <w:tc>
          <w:tcPr>
            <w:tcW w:w="2700" w:type="dxa"/>
            <w:tcBorders>
              <w:right w:val="single" w:sz="4" w:space="0" w:color="auto"/>
            </w:tcBorders>
          </w:tcPr>
          <w:p w14:paraId="11632ABC"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Editorial</w:t>
            </w:r>
          </w:p>
          <w:p w14:paraId="246B217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p w14:paraId="3CEFFB1F"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No of articles removed:</w:t>
            </w:r>
          </w:p>
          <w:p w14:paraId="5D8197C5"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1</w:t>
            </w:r>
          </w:p>
          <w:p w14:paraId="4FA853A8"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 3</w:t>
            </w:r>
          </w:p>
          <w:p w14:paraId="079E2DE0"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ISJ = 4</w:t>
            </w:r>
          </w:p>
          <w:p w14:paraId="5A5295AF"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ITP = 1</w:t>
            </w:r>
          </w:p>
          <w:p w14:paraId="2D4533F7"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tc>
        <w:tc>
          <w:tcPr>
            <w:tcW w:w="6115" w:type="dxa"/>
            <w:tcBorders>
              <w:left w:val="single" w:sz="4" w:space="0" w:color="auto"/>
            </w:tcBorders>
          </w:tcPr>
          <w:p w14:paraId="52E758F4"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MISQ</w:t>
            </w:r>
          </w:p>
          <w:p w14:paraId="104C7AC2" w14:textId="69763EE2"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(Te'eni</w:t>
            </w:r>
            <w:r w:rsidR="00DF093B">
              <w:rPr>
                <w:rFonts w:cs="Times New Roman"/>
                <w:noProof/>
                <w:color w:val="000000" w:themeColor="text1"/>
                <w:kern w:val="0"/>
                <w:szCs w:val="24"/>
                <w:lang w:eastAsia="en-US"/>
              </w:rPr>
              <w:t xml:space="preserve">, </w:t>
            </w:r>
            <w:r w:rsidRPr="00787B1F">
              <w:rPr>
                <w:rFonts w:cs="Times New Roman"/>
                <w:noProof/>
                <w:color w:val="000000" w:themeColor="text1"/>
                <w:kern w:val="0"/>
                <w:szCs w:val="24"/>
                <w:lang w:eastAsia="en-US"/>
              </w:rPr>
              <w:t>2009)</w:t>
            </w:r>
          </w:p>
          <w:p w14:paraId="610E3074"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EJIS</w:t>
            </w:r>
          </w:p>
          <w:p w14:paraId="7865B305" w14:textId="17BD329D"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(Abrahamsson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(Baskerville</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(Paul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2007)</w:t>
            </w:r>
          </w:p>
          <w:p w14:paraId="7091C1B2"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 xml:space="preserve">Information Systems Journal </w:t>
            </w:r>
          </w:p>
          <w:p w14:paraId="22C0C5AC" w14:textId="1F1A3F03"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(Davison</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2019)</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(Tarafdar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2015b)</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(Tarafdar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2015a)</w:t>
            </w:r>
            <w:r w:rsidRPr="00787B1F">
              <w:rPr>
                <w:rFonts w:cs="Times New Roman"/>
                <w:color w:val="000000" w:themeColor="text1"/>
                <w:kern w:val="0"/>
                <w:szCs w:val="24"/>
                <w:lang w:eastAsia="en-US"/>
              </w:rPr>
              <w:t xml:space="preserve"> </w:t>
            </w:r>
            <w:r w:rsidRPr="00787B1F">
              <w:rPr>
                <w:rFonts w:cs="Times New Roman"/>
                <w:noProof/>
                <w:color w:val="000000" w:themeColor="text1"/>
                <w:kern w:val="0"/>
                <w:szCs w:val="24"/>
                <w:lang w:eastAsia="en-US"/>
              </w:rPr>
              <w:t>(Irani and Fitzgerald</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2002)</w:t>
            </w:r>
          </w:p>
          <w:p w14:paraId="586C22A3"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t>ITP</w:t>
            </w:r>
          </w:p>
          <w:p w14:paraId="4779A82C" w14:textId="6A738F6A"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 xml:space="preserve">(Shoib </w:t>
            </w:r>
            <w:r w:rsidR="00DF093B">
              <w:rPr>
                <w:rFonts w:cs="Times New Roman"/>
                <w:noProof/>
                <w:color w:val="000000" w:themeColor="text1"/>
                <w:kern w:val="0"/>
                <w:szCs w:val="24"/>
                <w:lang w:eastAsia="en-US"/>
              </w:rPr>
              <w:t xml:space="preserve">&amp; </w:t>
            </w:r>
            <w:r w:rsidRPr="00787B1F">
              <w:rPr>
                <w:rFonts w:cs="Times New Roman"/>
                <w:noProof/>
                <w:color w:val="000000" w:themeColor="text1"/>
                <w:kern w:val="0"/>
                <w:szCs w:val="24"/>
                <w:lang w:eastAsia="en-US"/>
              </w:rPr>
              <w:t>Nandhakumar</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2009)</w:t>
            </w:r>
          </w:p>
        </w:tc>
      </w:tr>
      <w:tr w:rsidR="003E5B95" w:rsidRPr="00787B1F" w14:paraId="6CCC916A" w14:textId="77777777" w:rsidTr="00787B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40" w:type="dxa"/>
          </w:tcPr>
          <w:p w14:paraId="1BCEA27B"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9.</w:t>
            </w:r>
          </w:p>
        </w:tc>
        <w:tc>
          <w:tcPr>
            <w:tcW w:w="2700" w:type="dxa"/>
            <w:tcBorders>
              <w:right w:val="single" w:sz="4" w:space="0" w:color="auto"/>
            </w:tcBorders>
          </w:tcPr>
          <w:p w14:paraId="613C1422"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Other exclusion such as corrections to the articles</w:t>
            </w:r>
          </w:p>
          <w:p w14:paraId="58DD592E"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p w14:paraId="3EB32B14"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Number of articles removed:</w:t>
            </w:r>
          </w:p>
          <w:p w14:paraId="7A887148"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MISQ = 1</w:t>
            </w:r>
          </w:p>
          <w:p w14:paraId="5F6EE13F"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lastRenderedPageBreak/>
              <w:t>EJIS = 1</w:t>
            </w:r>
          </w:p>
        </w:tc>
        <w:tc>
          <w:tcPr>
            <w:tcW w:w="6115" w:type="dxa"/>
            <w:tcBorders>
              <w:left w:val="single" w:sz="4" w:space="0" w:color="auto"/>
            </w:tcBorders>
          </w:tcPr>
          <w:p w14:paraId="3BC42519"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bCs/>
                <w:color w:val="000000" w:themeColor="text1"/>
                <w:kern w:val="0"/>
                <w:szCs w:val="24"/>
                <w:lang w:eastAsia="en-US"/>
              </w:rPr>
            </w:pPr>
            <w:r w:rsidRPr="00787B1F">
              <w:rPr>
                <w:rFonts w:cs="Times New Roman"/>
                <w:bCs/>
                <w:color w:val="000000" w:themeColor="text1"/>
                <w:kern w:val="0"/>
                <w:szCs w:val="24"/>
                <w:lang w:eastAsia="en-US"/>
              </w:rPr>
              <w:lastRenderedPageBreak/>
              <w:t>MISQ</w:t>
            </w:r>
          </w:p>
          <w:p w14:paraId="6ED0098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Executive overview (1990)</w:t>
            </w:r>
          </w:p>
          <w:p w14:paraId="3E0B150E"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bCs/>
                <w:color w:val="000000" w:themeColor="text1"/>
                <w:kern w:val="0"/>
                <w:szCs w:val="24"/>
                <w:lang w:eastAsia="en-US"/>
              </w:rPr>
              <w:t>EJIS</w:t>
            </w:r>
          </w:p>
          <w:p w14:paraId="4A3381CB"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Correction to an article </w:t>
            </w:r>
          </w:p>
          <w:p w14:paraId="35071C11" w14:textId="77777777" w:rsidR="003E5B95" w:rsidRPr="00787B1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themeColor="text1"/>
                <w:kern w:val="0"/>
                <w:szCs w:val="24"/>
                <w:lang w:eastAsia="en-US"/>
              </w:rPr>
            </w:pPr>
          </w:p>
        </w:tc>
      </w:tr>
      <w:tr w:rsidR="003E5B95" w:rsidRPr="00787B1F" w14:paraId="6435B6D3" w14:textId="77777777" w:rsidTr="00787B1F">
        <w:tc>
          <w:tcPr>
            <w:cnfStyle w:val="001000000000" w:firstRow="0" w:lastRow="0" w:firstColumn="1" w:lastColumn="0" w:oddVBand="0" w:evenVBand="0" w:oddHBand="0" w:evenHBand="0" w:firstRowFirstColumn="0" w:firstRowLastColumn="0" w:lastRowFirstColumn="0" w:lastRowLastColumn="0"/>
            <w:tcW w:w="540" w:type="dxa"/>
          </w:tcPr>
          <w:p w14:paraId="7EF37628" w14:textId="77777777" w:rsidR="003E5B95" w:rsidRPr="00787B1F" w:rsidRDefault="003E5B95" w:rsidP="003E5B95">
            <w:pPr>
              <w:spacing w:line="240" w:lineRule="auto"/>
              <w:ind w:firstLine="0"/>
              <w:contextualSpacing w:val="0"/>
              <w:rPr>
                <w:rFonts w:cs="Times New Roman"/>
                <w:color w:val="000000" w:themeColor="text1"/>
                <w:kern w:val="0"/>
                <w:szCs w:val="24"/>
                <w:lang w:eastAsia="en-US"/>
              </w:rPr>
            </w:pPr>
            <w:r w:rsidRPr="00787B1F">
              <w:rPr>
                <w:rFonts w:cs="Times New Roman"/>
                <w:color w:val="000000" w:themeColor="text1"/>
                <w:kern w:val="0"/>
                <w:szCs w:val="24"/>
                <w:lang w:eastAsia="en-US"/>
              </w:rPr>
              <w:t>10.</w:t>
            </w:r>
          </w:p>
        </w:tc>
        <w:tc>
          <w:tcPr>
            <w:tcW w:w="2700" w:type="dxa"/>
            <w:tcBorders>
              <w:bottom w:val="single" w:sz="4" w:space="0" w:color="auto"/>
              <w:right w:val="single" w:sz="4" w:space="0" w:color="auto"/>
            </w:tcBorders>
          </w:tcPr>
          <w:p w14:paraId="5D08D70A"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Research related to </w:t>
            </w:r>
            <w:proofErr w:type="spellStart"/>
            <w:r w:rsidRPr="00787B1F">
              <w:rPr>
                <w:rFonts w:cs="Times New Roman"/>
                <w:color w:val="000000" w:themeColor="text1"/>
                <w:kern w:val="0"/>
                <w:szCs w:val="24"/>
                <w:lang w:eastAsia="en-US"/>
              </w:rPr>
              <w:t>NeuroIS</w:t>
            </w:r>
            <w:proofErr w:type="spellEnd"/>
          </w:p>
          <w:p w14:paraId="372E73E0"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p w14:paraId="0C2018AB"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 xml:space="preserve">Number of articles removed </w:t>
            </w:r>
          </w:p>
          <w:p w14:paraId="465F05C1"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 = 1</w:t>
            </w:r>
          </w:p>
        </w:tc>
        <w:tc>
          <w:tcPr>
            <w:tcW w:w="6115" w:type="dxa"/>
            <w:tcBorders>
              <w:left w:val="single" w:sz="4" w:space="0" w:color="auto"/>
            </w:tcBorders>
          </w:tcPr>
          <w:p w14:paraId="466C8857"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color w:val="000000" w:themeColor="text1"/>
                <w:kern w:val="0"/>
                <w:szCs w:val="24"/>
                <w:lang w:eastAsia="en-US"/>
              </w:rPr>
              <w:t>EJIS</w:t>
            </w:r>
          </w:p>
          <w:p w14:paraId="4CB75988" w14:textId="6E51BD81"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r w:rsidRPr="00787B1F">
              <w:rPr>
                <w:rFonts w:cs="Times New Roman"/>
                <w:noProof/>
                <w:color w:val="000000" w:themeColor="text1"/>
                <w:kern w:val="0"/>
                <w:szCs w:val="24"/>
                <w:lang w:eastAsia="en-US"/>
              </w:rPr>
              <w:t>(Anderson et al.</w:t>
            </w:r>
            <w:r w:rsidR="00DF093B">
              <w:rPr>
                <w:rFonts w:cs="Times New Roman"/>
                <w:noProof/>
                <w:color w:val="000000" w:themeColor="text1"/>
                <w:kern w:val="0"/>
                <w:szCs w:val="24"/>
                <w:lang w:eastAsia="en-US"/>
              </w:rPr>
              <w:t>,</w:t>
            </w:r>
            <w:r w:rsidRPr="00787B1F">
              <w:rPr>
                <w:rFonts w:cs="Times New Roman"/>
                <w:noProof/>
                <w:color w:val="000000" w:themeColor="text1"/>
                <w:kern w:val="0"/>
                <w:szCs w:val="24"/>
                <w:lang w:eastAsia="en-US"/>
              </w:rPr>
              <w:t xml:space="preserve"> 2016)</w:t>
            </w:r>
          </w:p>
          <w:p w14:paraId="30F28DC6" w14:textId="77777777" w:rsidR="003E5B95" w:rsidRPr="00787B1F"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themeColor="text1"/>
                <w:kern w:val="0"/>
                <w:szCs w:val="24"/>
                <w:lang w:eastAsia="en-US"/>
              </w:rPr>
            </w:pPr>
          </w:p>
        </w:tc>
      </w:tr>
    </w:tbl>
    <w:p w14:paraId="7BB3AAF2" w14:textId="77777777" w:rsidR="003E5B95" w:rsidRPr="00787B1F" w:rsidRDefault="003E5B95" w:rsidP="003E5B95">
      <w:pPr>
        <w:spacing w:after="160" w:line="259" w:lineRule="auto"/>
        <w:ind w:firstLine="0"/>
        <w:rPr>
          <w:rFonts w:cs="Times New Roman"/>
          <w:kern w:val="0"/>
          <w:szCs w:val="24"/>
          <w:lang w:eastAsia="en-US"/>
        </w:rPr>
      </w:pPr>
      <w:r w:rsidRPr="00787B1F">
        <w:rPr>
          <w:rFonts w:cs="Times New Roman"/>
          <w:kern w:val="0"/>
          <w:szCs w:val="24"/>
          <w:lang w:eastAsia="en-US"/>
        </w:rPr>
        <w:t xml:space="preserve">The articles where word coping and appraisal appeared together in the abstract, those articles were counted in the appraisal exclusion list; Computers &amp; Security (C&amp;S); Decision Support Systems (DSS), Decision Sciences (DS); European Journal of Information Systems (EJIS); Information and Management (I&amp;M); Information Systems Journal (ISJ); Information Systems Research (ISR); Information Technology &amp; People (ITP); Information and Computer Security (ICS); Journal of Computer Information Systems (JCIS); Journal of the Association for Information Systems (JAIS); The Journal of Information Technology (JIT); Journal of Management Information Systems (JMIS); </w:t>
      </w:r>
      <w:r w:rsidRPr="00787B1F">
        <w:rPr>
          <w:rFonts w:cs="Times New Roman"/>
          <w:kern w:val="0"/>
          <w:szCs w:val="24"/>
          <w:bdr w:val="none" w:sz="0" w:space="0" w:color="auto" w:frame="1"/>
          <w:lang w:eastAsia="en-US"/>
        </w:rPr>
        <w:t xml:space="preserve">Journal of Information Security and Applications (JIS&amp;A); </w:t>
      </w:r>
      <w:r w:rsidRPr="00787B1F">
        <w:rPr>
          <w:rFonts w:cs="Times New Roman"/>
          <w:kern w:val="0"/>
          <w:szCs w:val="24"/>
          <w:lang w:eastAsia="en-US"/>
        </w:rPr>
        <w:t>The Journal of Strategic Information Systems (JSIS); Management Science (MS); Management Information Systems Quarterly (MISQ)</w:t>
      </w:r>
    </w:p>
    <w:p w14:paraId="36B1EE24" w14:textId="77777777" w:rsidR="003E5B95" w:rsidRPr="00787B1F" w:rsidRDefault="003E5B95" w:rsidP="003E5B95">
      <w:pPr>
        <w:rPr>
          <w:szCs w:val="24"/>
        </w:rPr>
      </w:pPr>
    </w:p>
    <w:p w14:paraId="6309A807" w14:textId="77777777" w:rsidR="003E5B95" w:rsidRPr="00787B1F" w:rsidRDefault="003E5B95" w:rsidP="003E5B95">
      <w:pPr>
        <w:spacing w:after="160" w:line="259" w:lineRule="auto"/>
        <w:ind w:firstLine="0"/>
        <w:contextualSpacing w:val="0"/>
        <w:rPr>
          <w:szCs w:val="24"/>
        </w:rPr>
      </w:pPr>
      <w:r w:rsidRPr="00787B1F">
        <w:rPr>
          <w:szCs w:val="24"/>
        </w:rPr>
        <w:br w:type="page"/>
      </w:r>
    </w:p>
    <w:p w14:paraId="3731E793" w14:textId="10BB81BA" w:rsidR="003E5B95" w:rsidRDefault="003E5B95" w:rsidP="00063629">
      <w:pPr>
        <w:pStyle w:val="Heading2"/>
      </w:pPr>
      <w:bookmarkStart w:id="160" w:name="_Toc74087520"/>
      <w:bookmarkStart w:id="161" w:name="_Toc74258636"/>
      <w:r>
        <w:lastRenderedPageBreak/>
        <w:t>References for Appendix B</w:t>
      </w:r>
      <w:bookmarkEnd w:id="160"/>
      <w:bookmarkEnd w:id="161"/>
    </w:p>
    <w:p w14:paraId="3CD1CD1E" w14:textId="77777777" w:rsidR="00AD5D3F" w:rsidRPr="00DE0F43" w:rsidRDefault="00AD5D3F" w:rsidP="00AD5D3F">
      <w:pPr>
        <w:pStyle w:val="EndNoteBibliography"/>
        <w:spacing w:after="240"/>
        <w:ind w:left="720" w:hanging="720"/>
        <w:rPr>
          <w:szCs w:val="24"/>
        </w:rPr>
      </w:pPr>
      <w:bookmarkStart w:id="162" w:name="_Hlk74240727"/>
      <w:r w:rsidRPr="00DE0F43">
        <w:rPr>
          <w:szCs w:val="24"/>
        </w:rPr>
        <w:t xml:space="preserve">Abraham, C., &amp; Junglas, I. (2011). From cacophony to harmony: A case study about the IS implementation process as an opportunity for organizational transformation at Sentara Healthcare. </w:t>
      </w:r>
      <w:r w:rsidRPr="00DE0F43">
        <w:rPr>
          <w:i/>
          <w:szCs w:val="24"/>
        </w:rPr>
        <w:t>The Journal of Strategic Information Systems</w:t>
      </w:r>
      <w:r w:rsidRPr="00DE0F43">
        <w:rPr>
          <w:szCs w:val="24"/>
        </w:rPr>
        <w:t>,</w:t>
      </w:r>
      <w:r w:rsidRPr="00DE0F43">
        <w:rPr>
          <w:i/>
          <w:szCs w:val="24"/>
        </w:rPr>
        <w:t xml:space="preserve"> 20</w:t>
      </w:r>
      <w:r w:rsidRPr="00DE0F43">
        <w:rPr>
          <w:szCs w:val="24"/>
        </w:rPr>
        <w:t xml:space="preserve">(2), 177-197. </w:t>
      </w:r>
    </w:p>
    <w:p w14:paraId="57B6DD80" w14:textId="77777777" w:rsidR="00AD5D3F" w:rsidRPr="00DE0F43" w:rsidRDefault="00AD5D3F" w:rsidP="00AD5D3F">
      <w:pPr>
        <w:pStyle w:val="EndNoteBibliography"/>
        <w:spacing w:after="240"/>
        <w:ind w:left="720" w:hanging="720"/>
        <w:rPr>
          <w:szCs w:val="24"/>
        </w:rPr>
      </w:pPr>
      <w:r w:rsidRPr="00DE0F43">
        <w:rPr>
          <w:szCs w:val="24"/>
        </w:rPr>
        <w:t xml:space="preserve">Abrahamsson, P., Conboy, K., &amp; Wang, X. (2009). ‘Lots done, more to do’: the current state of agile systems development research. </w:t>
      </w:r>
      <w:r w:rsidRPr="00DE0F43">
        <w:rPr>
          <w:i/>
          <w:szCs w:val="24"/>
        </w:rPr>
        <w:t>European Journal of Information Systems</w:t>
      </w:r>
      <w:r w:rsidRPr="00DE0F43">
        <w:rPr>
          <w:szCs w:val="24"/>
        </w:rPr>
        <w:t>,</w:t>
      </w:r>
      <w:r w:rsidRPr="00DE0F43">
        <w:rPr>
          <w:i/>
          <w:szCs w:val="24"/>
        </w:rPr>
        <w:t xml:space="preserve"> 18</w:t>
      </w:r>
      <w:r w:rsidRPr="00DE0F43">
        <w:rPr>
          <w:szCs w:val="24"/>
        </w:rPr>
        <w:t xml:space="preserve">(4), 281-284. </w:t>
      </w:r>
      <w:r w:rsidRPr="001C56A3">
        <w:rPr>
          <w:szCs w:val="24"/>
        </w:rPr>
        <w:t>https://doi.org/10.1057/ejis.2009.27</w:t>
      </w:r>
      <w:r w:rsidRPr="00DE0F43">
        <w:rPr>
          <w:szCs w:val="24"/>
        </w:rPr>
        <w:t xml:space="preserve"> </w:t>
      </w:r>
    </w:p>
    <w:p w14:paraId="1D5C5D08" w14:textId="702764DE" w:rsidR="00AD5D3F" w:rsidRPr="00DE0F43" w:rsidRDefault="00AD5D3F" w:rsidP="00AD5D3F">
      <w:pPr>
        <w:pStyle w:val="EndNoteBibliography"/>
        <w:spacing w:after="240"/>
        <w:ind w:left="720" w:hanging="720"/>
        <w:rPr>
          <w:szCs w:val="24"/>
        </w:rPr>
      </w:pPr>
      <w:r w:rsidRPr="00DE0F43">
        <w:rPr>
          <w:szCs w:val="24"/>
        </w:rPr>
        <w:t xml:space="preserve">Agag, G. M., Khashan, M. A., Colmekcioglu, N., Almamy, A., Alharbi, N. S., Eid, R., Shabbir, H., &amp; Abdelmoety, Z. H. S. (2020). Converting hotels website visitors into buyers: How online hotel web assurance seals services decrease consumers' concerns and increase online booking intentions. </w:t>
      </w:r>
      <w:r w:rsidRPr="00DE0F43">
        <w:rPr>
          <w:i/>
          <w:szCs w:val="24"/>
        </w:rPr>
        <w:t>Information Technology &amp; People</w:t>
      </w:r>
      <w:r w:rsidRPr="00DE0F43">
        <w:rPr>
          <w:szCs w:val="24"/>
        </w:rPr>
        <w:t>,</w:t>
      </w:r>
      <w:r w:rsidRPr="00DE0F43">
        <w:rPr>
          <w:i/>
          <w:szCs w:val="24"/>
        </w:rPr>
        <w:t xml:space="preserve"> 33</w:t>
      </w:r>
      <w:r w:rsidRPr="00DE0F43">
        <w:rPr>
          <w:szCs w:val="24"/>
        </w:rPr>
        <w:t xml:space="preserve">(1), 129-159. </w:t>
      </w:r>
      <w:r w:rsidRPr="001C56A3">
        <w:rPr>
          <w:szCs w:val="24"/>
        </w:rPr>
        <w:t>https://doi.org/10.1108/ITP-12-2017-0446</w:t>
      </w:r>
      <w:r w:rsidRPr="00DE0F43">
        <w:rPr>
          <w:szCs w:val="24"/>
        </w:rPr>
        <w:t xml:space="preserve"> </w:t>
      </w:r>
    </w:p>
    <w:p w14:paraId="7B69B419" w14:textId="77777777" w:rsidR="00AD5D3F" w:rsidRPr="00DE0F43" w:rsidRDefault="00AD5D3F" w:rsidP="00AD5D3F">
      <w:pPr>
        <w:pStyle w:val="EndNoteBibliography"/>
        <w:spacing w:after="240"/>
        <w:ind w:left="720" w:hanging="720"/>
        <w:rPr>
          <w:szCs w:val="24"/>
        </w:rPr>
      </w:pPr>
      <w:r w:rsidRPr="00DE0F43">
        <w:rPr>
          <w:szCs w:val="24"/>
        </w:rPr>
        <w:t xml:space="preserve">Amaravadi, C. S. (2003). The world and business computing in 2051. </w:t>
      </w:r>
      <w:r w:rsidRPr="00DE0F43">
        <w:rPr>
          <w:i/>
          <w:szCs w:val="24"/>
        </w:rPr>
        <w:t>The Journal of Strategic Information Systems</w:t>
      </w:r>
      <w:r w:rsidRPr="00DE0F43">
        <w:rPr>
          <w:szCs w:val="24"/>
        </w:rPr>
        <w:t>,</w:t>
      </w:r>
      <w:r w:rsidRPr="00DE0F43">
        <w:rPr>
          <w:i/>
          <w:szCs w:val="24"/>
        </w:rPr>
        <w:t xml:space="preserve"> 12</w:t>
      </w:r>
      <w:r w:rsidRPr="00DE0F43">
        <w:rPr>
          <w:szCs w:val="24"/>
        </w:rPr>
        <w:t xml:space="preserve">(4), 373-386. </w:t>
      </w:r>
    </w:p>
    <w:p w14:paraId="212F2C21" w14:textId="2403FE26" w:rsidR="00AD5D3F" w:rsidRPr="00DE0F43" w:rsidRDefault="00AD5D3F" w:rsidP="00AD5D3F">
      <w:pPr>
        <w:pStyle w:val="EndNoteBibliography"/>
        <w:spacing w:after="240"/>
        <w:ind w:left="720" w:hanging="720"/>
        <w:rPr>
          <w:szCs w:val="24"/>
        </w:rPr>
      </w:pPr>
      <w:r w:rsidRPr="00DE0F43">
        <w:rPr>
          <w:szCs w:val="24"/>
        </w:rPr>
        <w:t xml:space="preserve">Anderson, B. B., Vance, A., Kirwan, C. B., Eargle, D., &amp; Jenkins, J. L. (2016). How users perceive and respond to security messages: a NeuroIS research agenda and empirical study. </w:t>
      </w:r>
      <w:r w:rsidRPr="00DE0F43">
        <w:rPr>
          <w:i/>
          <w:szCs w:val="24"/>
        </w:rPr>
        <w:t>European Journal of Information Systems</w:t>
      </w:r>
      <w:r w:rsidRPr="00DE0F43">
        <w:rPr>
          <w:szCs w:val="24"/>
        </w:rPr>
        <w:t>,</w:t>
      </w:r>
      <w:r w:rsidRPr="00DE0F43">
        <w:rPr>
          <w:i/>
          <w:szCs w:val="24"/>
        </w:rPr>
        <w:t xml:space="preserve"> 25</w:t>
      </w:r>
      <w:r w:rsidRPr="00DE0F43">
        <w:rPr>
          <w:szCs w:val="24"/>
        </w:rPr>
        <w:t xml:space="preserve">(4), 364-390. </w:t>
      </w:r>
      <w:r w:rsidRPr="001C56A3">
        <w:rPr>
          <w:szCs w:val="24"/>
        </w:rPr>
        <w:t>https://doi.org/10.1057/ejis.2015.21</w:t>
      </w:r>
      <w:r w:rsidRPr="00DE0F43">
        <w:rPr>
          <w:szCs w:val="24"/>
        </w:rPr>
        <w:t xml:space="preserve"> </w:t>
      </w:r>
    </w:p>
    <w:p w14:paraId="29BCAA02" w14:textId="5326A3B1" w:rsidR="00AD5D3F" w:rsidRPr="00DE0F43" w:rsidRDefault="00AD5D3F" w:rsidP="00AD5D3F">
      <w:pPr>
        <w:pStyle w:val="EndNoteBibliography"/>
        <w:spacing w:after="240"/>
        <w:ind w:left="720" w:hanging="720"/>
        <w:rPr>
          <w:szCs w:val="24"/>
        </w:rPr>
      </w:pPr>
      <w:r w:rsidRPr="00DE0F43">
        <w:rPr>
          <w:szCs w:val="24"/>
        </w:rPr>
        <w:t xml:space="preserve">Annabi, H., &amp; Lebovitz, S. (2018). Improving the retention of women in the IT workforce: An investigation of gender diversity interventions in the USA. </w:t>
      </w:r>
      <w:r w:rsidRPr="00DE0F43">
        <w:rPr>
          <w:i/>
          <w:szCs w:val="24"/>
        </w:rPr>
        <w:t>Information Systems Journal</w:t>
      </w:r>
      <w:r w:rsidRPr="00DE0F43">
        <w:rPr>
          <w:szCs w:val="24"/>
        </w:rPr>
        <w:t>,</w:t>
      </w:r>
      <w:r w:rsidRPr="00DE0F43">
        <w:rPr>
          <w:i/>
          <w:szCs w:val="24"/>
        </w:rPr>
        <w:t xml:space="preserve"> 28</w:t>
      </w:r>
      <w:r w:rsidRPr="00DE0F43">
        <w:rPr>
          <w:szCs w:val="24"/>
        </w:rPr>
        <w:t xml:space="preserve">(6), 1049-1081. </w:t>
      </w:r>
      <w:r w:rsidRPr="001C56A3">
        <w:rPr>
          <w:szCs w:val="24"/>
        </w:rPr>
        <w:t>https://doi.org/10.1111/isj.12182</w:t>
      </w:r>
      <w:r w:rsidRPr="00DE0F43">
        <w:rPr>
          <w:szCs w:val="24"/>
        </w:rPr>
        <w:t xml:space="preserve"> </w:t>
      </w:r>
    </w:p>
    <w:p w14:paraId="45D2D529" w14:textId="3E1D18EB" w:rsidR="00AD5D3F" w:rsidRPr="00DE0F43" w:rsidRDefault="00AD5D3F" w:rsidP="00AD5D3F">
      <w:pPr>
        <w:pStyle w:val="EndNoteBibliography"/>
        <w:spacing w:after="240"/>
        <w:ind w:left="720" w:hanging="720"/>
        <w:rPr>
          <w:szCs w:val="24"/>
        </w:rPr>
      </w:pPr>
      <w:r w:rsidRPr="00DE0F43">
        <w:rPr>
          <w:szCs w:val="24"/>
        </w:rPr>
        <w:t xml:space="preserve">Bachlechner, D., Thalmann, S., &amp; Maier, R. (2014). Security and compliance challenges in complex IT outsourcing arrangements: A multi-stakeholder perspective. </w:t>
      </w:r>
      <w:r w:rsidRPr="00DE0F43">
        <w:rPr>
          <w:i/>
          <w:szCs w:val="24"/>
        </w:rPr>
        <w:t>Computers &amp; Security</w:t>
      </w:r>
      <w:r w:rsidRPr="00DE0F43">
        <w:rPr>
          <w:szCs w:val="24"/>
        </w:rPr>
        <w:t>,</w:t>
      </w:r>
      <w:r w:rsidRPr="00DE0F43">
        <w:rPr>
          <w:i/>
          <w:szCs w:val="24"/>
        </w:rPr>
        <w:t xml:space="preserve"> 40</w:t>
      </w:r>
      <w:r w:rsidRPr="00DE0F43">
        <w:rPr>
          <w:szCs w:val="24"/>
        </w:rPr>
        <w:t xml:space="preserve">, 38-59. </w:t>
      </w:r>
      <w:r w:rsidRPr="001C56A3">
        <w:rPr>
          <w:szCs w:val="24"/>
        </w:rPr>
        <w:t>https://doi.org/10.1016/j.cose.2013.11.002</w:t>
      </w:r>
      <w:r w:rsidRPr="00DE0F43">
        <w:rPr>
          <w:szCs w:val="24"/>
        </w:rPr>
        <w:t xml:space="preserve"> </w:t>
      </w:r>
    </w:p>
    <w:p w14:paraId="444855D8" w14:textId="6F33ED95" w:rsidR="00AD5D3F" w:rsidRPr="00DE0F43" w:rsidRDefault="00AD5D3F" w:rsidP="00AD5D3F">
      <w:pPr>
        <w:pStyle w:val="EndNoteBibliography"/>
        <w:spacing w:after="240"/>
        <w:ind w:left="720" w:hanging="720"/>
        <w:rPr>
          <w:szCs w:val="24"/>
        </w:rPr>
      </w:pPr>
      <w:r w:rsidRPr="00DE0F43">
        <w:rPr>
          <w:szCs w:val="24"/>
        </w:rPr>
        <w:t xml:space="preserve">Ballantine, J., &amp; Stray, S. (1998). Financial appraisal and the IS/IT investment decision making process. </w:t>
      </w:r>
      <w:r w:rsidRPr="00DE0F43">
        <w:rPr>
          <w:i/>
          <w:szCs w:val="24"/>
        </w:rPr>
        <w:t>Journal of Information Technology</w:t>
      </w:r>
      <w:r w:rsidRPr="00DE0F43">
        <w:rPr>
          <w:szCs w:val="24"/>
        </w:rPr>
        <w:t>,</w:t>
      </w:r>
      <w:r w:rsidRPr="00DE0F43">
        <w:rPr>
          <w:i/>
          <w:szCs w:val="24"/>
        </w:rPr>
        <w:t xml:space="preserve"> 13</w:t>
      </w:r>
      <w:r w:rsidRPr="00DE0F43">
        <w:rPr>
          <w:szCs w:val="24"/>
        </w:rPr>
        <w:t xml:space="preserve">(1), 3-14. </w:t>
      </w:r>
      <w:r w:rsidRPr="001C56A3">
        <w:rPr>
          <w:szCs w:val="24"/>
        </w:rPr>
        <w:t>https://doi.org/10.1177/026839629801300101</w:t>
      </w:r>
      <w:r w:rsidRPr="00DE0F43">
        <w:rPr>
          <w:szCs w:val="24"/>
        </w:rPr>
        <w:t xml:space="preserve"> </w:t>
      </w:r>
    </w:p>
    <w:p w14:paraId="2612120B" w14:textId="34B3C343" w:rsidR="00AD5D3F" w:rsidRPr="00DE0F43" w:rsidRDefault="00AD5D3F" w:rsidP="00AD5D3F">
      <w:pPr>
        <w:pStyle w:val="EndNoteBibliography"/>
        <w:spacing w:after="240"/>
        <w:ind w:left="720" w:hanging="720"/>
        <w:rPr>
          <w:szCs w:val="24"/>
        </w:rPr>
      </w:pPr>
      <w:r w:rsidRPr="00DE0F43">
        <w:rPr>
          <w:szCs w:val="24"/>
        </w:rPr>
        <w:t xml:space="preserve">Barfod, M. B., Salling, K. B., &amp; Leleur, S. (2011). Composite decision support by combining cost-benefit and multi-criteria decision analysis. </w:t>
      </w:r>
      <w:r w:rsidRPr="00DE0F43">
        <w:rPr>
          <w:i/>
          <w:szCs w:val="24"/>
        </w:rPr>
        <w:t>Decision Support Systems</w:t>
      </w:r>
      <w:r w:rsidRPr="00DE0F43">
        <w:rPr>
          <w:szCs w:val="24"/>
        </w:rPr>
        <w:t>,</w:t>
      </w:r>
      <w:r w:rsidRPr="00DE0F43">
        <w:rPr>
          <w:i/>
          <w:szCs w:val="24"/>
        </w:rPr>
        <w:t xml:space="preserve"> 51</w:t>
      </w:r>
      <w:r w:rsidRPr="00DE0F43">
        <w:rPr>
          <w:szCs w:val="24"/>
        </w:rPr>
        <w:t xml:space="preserve">(1), 167-175. </w:t>
      </w:r>
      <w:r w:rsidRPr="001C56A3">
        <w:rPr>
          <w:szCs w:val="24"/>
        </w:rPr>
        <w:t>https://doi.org/10.1016/j.dss.2010.12.005</w:t>
      </w:r>
      <w:r w:rsidRPr="00DE0F43">
        <w:rPr>
          <w:szCs w:val="24"/>
        </w:rPr>
        <w:t xml:space="preserve"> </w:t>
      </w:r>
    </w:p>
    <w:p w14:paraId="1E4AE9EB" w14:textId="77777777" w:rsidR="00AD5D3F" w:rsidRPr="00DE0F43" w:rsidRDefault="00AD5D3F" w:rsidP="00AD5D3F">
      <w:pPr>
        <w:pStyle w:val="EndNoteBibliography"/>
        <w:spacing w:after="240"/>
        <w:ind w:left="720" w:hanging="720"/>
        <w:rPr>
          <w:szCs w:val="24"/>
        </w:rPr>
      </w:pPr>
      <w:r w:rsidRPr="00DE0F43">
        <w:rPr>
          <w:szCs w:val="24"/>
        </w:rPr>
        <w:t xml:space="preserve">Baskerville, R. (2009). Preparing for evidence-based management. </w:t>
      </w:r>
      <w:r w:rsidRPr="00DE0F43">
        <w:rPr>
          <w:i/>
          <w:szCs w:val="24"/>
        </w:rPr>
        <w:t>European Journal of Information Systems</w:t>
      </w:r>
      <w:r w:rsidRPr="00DE0F43">
        <w:rPr>
          <w:szCs w:val="24"/>
        </w:rPr>
        <w:t>,</w:t>
      </w:r>
      <w:r w:rsidRPr="00DE0F43">
        <w:rPr>
          <w:i/>
          <w:szCs w:val="24"/>
        </w:rPr>
        <w:t xml:space="preserve"> 18</w:t>
      </w:r>
      <w:r w:rsidRPr="00DE0F43">
        <w:rPr>
          <w:szCs w:val="24"/>
        </w:rPr>
        <w:t xml:space="preserve">(6), 523-525. </w:t>
      </w:r>
      <w:r w:rsidRPr="001C56A3">
        <w:rPr>
          <w:szCs w:val="24"/>
        </w:rPr>
        <w:t>https://doi.org/10.1057/ejis.2009.42</w:t>
      </w:r>
      <w:r w:rsidRPr="00DE0F43">
        <w:rPr>
          <w:szCs w:val="24"/>
        </w:rPr>
        <w:t xml:space="preserve"> </w:t>
      </w:r>
    </w:p>
    <w:p w14:paraId="3AFC9F82" w14:textId="77777777" w:rsidR="00AD5D3F" w:rsidRPr="00DE0F43" w:rsidRDefault="00AD5D3F" w:rsidP="00AD5D3F">
      <w:pPr>
        <w:pStyle w:val="EndNoteBibliography"/>
        <w:spacing w:after="240"/>
        <w:ind w:left="720" w:hanging="720"/>
        <w:rPr>
          <w:szCs w:val="24"/>
        </w:rPr>
      </w:pPr>
      <w:r w:rsidRPr="00DE0F43">
        <w:rPr>
          <w:szCs w:val="24"/>
        </w:rPr>
        <w:t xml:space="preserve">Baskerville, R. (2012). Making better choices: a response to Walsham. </w:t>
      </w:r>
      <w:r w:rsidRPr="00DE0F43">
        <w:rPr>
          <w:i/>
          <w:szCs w:val="24"/>
        </w:rPr>
        <w:t>Journal of Information Technology</w:t>
      </w:r>
      <w:r w:rsidRPr="00DE0F43">
        <w:rPr>
          <w:szCs w:val="24"/>
        </w:rPr>
        <w:t>,</w:t>
      </w:r>
      <w:r w:rsidRPr="00DE0F43">
        <w:rPr>
          <w:i/>
          <w:szCs w:val="24"/>
        </w:rPr>
        <w:t xml:space="preserve"> 27</w:t>
      </w:r>
      <w:r w:rsidRPr="00DE0F43">
        <w:rPr>
          <w:szCs w:val="24"/>
        </w:rPr>
        <w:t xml:space="preserve">(2), 94-95. </w:t>
      </w:r>
    </w:p>
    <w:p w14:paraId="08800E7A" w14:textId="7A5E4BB0" w:rsidR="00AD5D3F" w:rsidRPr="00DE0F43" w:rsidRDefault="00AD5D3F" w:rsidP="00AD5D3F">
      <w:pPr>
        <w:pStyle w:val="EndNoteBibliography"/>
        <w:spacing w:after="240"/>
        <w:ind w:left="720" w:hanging="720"/>
        <w:rPr>
          <w:szCs w:val="24"/>
        </w:rPr>
      </w:pPr>
      <w:r w:rsidRPr="00DE0F43">
        <w:rPr>
          <w:szCs w:val="24"/>
        </w:rPr>
        <w:t xml:space="preserve">Beijsterveld, J. A. A., &amp; Groenendaal, W. J. H. (2016). Solving misfits in ERP implementations by SMEs. </w:t>
      </w:r>
      <w:r w:rsidRPr="00DE0F43">
        <w:rPr>
          <w:i/>
          <w:szCs w:val="24"/>
        </w:rPr>
        <w:t>Information Systems Journal</w:t>
      </w:r>
      <w:r w:rsidRPr="00DE0F43">
        <w:rPr>
          <w:szCs w:val="24"/>
        </w:rPr>
        <w:t>,</w:t>
      </w:r>
      <w:r w:rsidRPr="00DE0F43">
        <w:rPr>
          <w:i/>
          <w:szCs w:val="24"/>
        </w:rPr>
        <w:t xml:space="preserve"> 26</w:t>
      </w:r>
      <w:r w:rsidRPr="00DE0F43">
        <w:rPr>
          <w:szCs w:val="24"/>
        </w:rPr>
        <w:t xml:space="preserve">(4), 369-393. </w:t>
      </w:r>
      <w:r w:rsidRPr="001C56A3">
        <w:rPr>
          <w:szCs w:val="24"/>
        </w:rPr>
        <w:t>https://doi.org/10.1111/isj.12090</w:t>
      </w:r>
      <w:r w:rsidRPr="00DE0F43">
        <w:rPr>
          <w:szCs w:val="24"/>
        </w:rPr>
        <w:t xml:space="preserve"> </w:t>
      </w:r>
    </w:p>
    <w:p w14:paraId="33B82667" w14:textId="56C79172" w:rsidR="00AD5D3F" w:rsidRPr="00DE0F43" w:rsidRDefault="00AD5D3F" w:rsidP="00AD5D3F">
      <w:pPr>
        <w:pStyle w:val="EndNoteBibliography"/>
        <w:spacing w:after="240"/>
        <w:ind w:left="720" w:hanging="720"/>
        <w:rPr>
          <w:szCs w:val="24"/>
        </w:rPr>
      </w:pPr>
      <w:r w:rsidRPr="00DE0F43">
        <w:rPr>
          <w:szCs w:val="24"/>
        </w:rPr>
        <w:lastRenderedPageBreak/>
        <w:t xml:space="preserve">Ben‐Assuli, O., &amp; Leshno, M. (2013). Using Electronic Medical Records in Admission Decisions: A Cost Effectiveness Analysis </w:t>
      </w:r>
      <w:r w:rsidRPr="00DE0F43">
        <w:rPr>
          <w:i/>
          <w:szCs w:val="24"/>
        </w:rPr>
        <w:t>Decision Sciences</w:t>
      </w:r>
      <w:r w:rsidRPr="00DE0F43">
        <w:rPr>
          <w:szCs w:val="24"/>
        </w:rPr>
        <w:t>,</w:t>
      </w:r>
      <w:r w:rsidRPr="00DE0F43">
        <w:rPr>
          <w:i/>
          <w:szCs w:val="24"/>
        </w:rPr>
        <w:t xml:space="preserve"> 44</w:t>
      </w:r>
      <w:r w:rsidRPr="00DE0F43">
        <w:rPr>
          <w:szCs w:val="24"/>
        </w:rPr>
        <w:t xml:space="preserve">(3), 463-481. </w:t>
      </w:r>
      <w:r w:rsidRPr="001C56A3">
        <w:rPr>
          <w:szCs w:val="24"/>
        </w:rPr>
        <w:t>https://doi.org/10.1111/deci.12018</w:t>
      </w:r>
      <w:r w:rsidRPr="00DE0F43">
        <w:rPr>
          <w:szCs w:val="24"/>
        </w:rPr>
        <w:t xml:space="preserve"> </w:t>
      </w:r>
    </w:p>
    <w:p w14:paraId="3AA60D38" w14:textId="41239A28" w:rsidR="00AD5D3F" w:rsidRPr="00DE0F43" w:rsidRDefault="00AD5D3F" w:rsidP="00AD5D3F">
      <w:pPr>
        <w:pStyle w:val="EndNoteBibliography"/>
        <w:spacing w:after="240"/>
        <w:ind w:left="720" w:hanging="720"/>
        <w:rPr>
          <w:szCs w:val="24"/>
        </w:rPr>
      </w:pPr>
      <w:r w:rsidRPr="00DE0F43">
        <w:rPr>
          <w:szCs w:val="24"/>
        </w:rPr>
        <w:t xml:space="preserve">Bento, R. F. (1996). Life in the middle: An analysis of information centers from the perspective of their major stakeholders </w:t>
      </w:r>
      <w:r w:rsidRPr="00DE0F43">
        <w:rPr>
          <w:i/>
          <w:szCs w:val="24"/>
        </w:rPr>
        <w:t>Information &amp; Management</w:t>
      </w:r>
      <w:r w:rsidRPr="00DE0F43">
        <w:rPr>
          <w:szCs w:val="24"/>
        </w:rPr>
        <w:t>,</w:t>
      </w:r>
      <w:r w:rsidRPr="00DE0F43">
        <w:rPr>
          <w:i/>
          <w:szCs w:val="24"/>
        </w:rPr>
        <w:t xml:space="preserve"> 30</w:t>
      </w:r>
      <w:r w:rsidRPr="00DE0F43">
        <w:rPr>
          <w:szCs w:val="24"/>
        </w:rPr>
        <w:t xml:space="preserve">(3), 101-109. </w:t>
      </w:r>
      <w:r w:rsidRPr="001C56A3">
        <w:rPr>
          <w:szCs w:val="24"/>
        </w:rPr>
        <w:t>https://doi.org/10.1016/0378-7206(95)00051-8</w:t>
      </w:r>
      <w:r w:rsidRPr="00DE0F43">
        <w:rPr>
          <w:szCs w:val="24"/>
        </w:rPr>
        <w:t xml:space="preserve"> </w:t>
      </w:r>
    </w:p>
    <w:p w14:paraId="0F55E1FB" w14:textId="77777777" w:rsidR="00AD5D3F" w:rsidRPr="00DE0F43" w:rsidRDefault="00AD5D3F" w:rsidP="00AD5D3F">
      <w:pPr>
        <w:pStyle w:val="EndNoteBibliography"/>
        <w:spacing w:after="240"/>
        <w:ind w:left="720" w:hanging="720"/>
        <w:rPr>
          <w:szCs w:val="24"/>
        </w:rPr>
      </w:pPr>
      <w:r w:rsidRPr="00DE0F43">
        <w:rPr>
          <w:szCs w:val="24"/>
        </w:rPr>
        <w:t xml:space="preserve">Berger, B., Matt, C., Steininger, D. M., &amp; Hess, T. (2015). It is not just about competition with “free”: Differences between content formats in consumer preferences and willingness to pay. </w:t>
      </w:r>
      <w:r w:rsidRPr="00DE0F43">
        <w:rPr>
          <w:i/>
          <w:szCs w:val="24"/>
        </w:rPr>
        <w:t>Journal of Management Information Systems</w:t>
      </w:r>
      <w:r w:rsidRPr="00DE0F43">
        <w:rPr>
          <w:szCs w:val="24"/>
        </w:rPr>
        <w:t>,</w:t>
      </w:r>
      <w:r w:rsidRPr="00DE0F43">
        <w:rPr>
          <w:i/>
          <w:szCs w:val="24"/>
        </w:rPr>
        <w:t xml:space="preserve"> 32</w:t>
      </w:r>
      <w:r w:rsidRPr="00DE0F43">
        <w:rPr>
          <w:szCs w:val="24"/>
        </w:rPr>
        <w:t xml:space="preserve">(3), 105-128. </w:t>
      </w:r>
    </w:p>
    <w:p w14:paraId="6CCB1C58" w14:textId="0DDDBEE9" w:rsidR="00AD5D3F" w:rsidRPr="00DE0F43" w:rsidRDefault="00AD5D3F" w:rsidP="00AD5D3F">
      <w:pPr>
        <w:pStyle w:val="EndNoteBibliography"/>
        <w:spacing w:after="240"/>
        <w:ind w:left="720" w:hanging="720"/>
        <w:rPr>
          <w:szCs w:val="24"/>
        </w:rPr>
      </w:pPr>
      <w:r w:rsidRPr="00DE0F43">
        <w:rPr>
          <w:szCs w:val="24"/>
        </w:rPr>
        <w:t xml:space="preserve">Bergman, M., Lyytinen, K., &amp; Mark, G. (2007). Boundary Objects in Design: An Ecological View of Design Artifacts </w:t>
      </w:r>
      <w:r w:rsidRPr="00DE0F43">
        <w:rPr>
          <w:i/>
          <w:szCs w:val="24"/>
        </w:rPr>
        <w:t>Journal of the Association for Information Systems</w:t>
      </w:r>
      <w:r w:rsidRPr="00DE0F43">
        <w:rPr>
          <w:szCs w:val="24"/>
        </w:rPr>
        <w:t>,</w:t>
      </w:r>
      <w:r w:rsidRPr="00DE0F43">
        <w:rPr>
          <w:i/>
          <w:szCs w:val="24"/>
        </w:rPr>
        <w:t xml:space="preserve"> 8</w:t>
      </w:r>
      <w:r w:rsidRPr="00DE0F43">
        <w:rPr>
          <w:szCs w:val="24"/>
        </w:rPr>
        <w:t xml:space="preserve">(11), 546-568. </w:t>
      </w:r>
      <w:r w:rsidRPr="001C56A3">
        <w:rPr>
          <w:szCs w:val="24"/>
        </w:rPr>
        <w:t>https://search.ebscohost.com/login.aspx?direct=true&amp;db=buh&amp;AN=27992456&amp;site=ehost-live&amp;scope=site</w:t>
      </w:r>
      <w:r w:rsidRPr="00DE0F43">
        <w:rPr>
          <w:szCs w:val="24"/>
        </w:rPr>
        <w:t xml:space="preserve"> </w:t>
      </w:r>
    </w:p>
    <w:p w14:paraId="470B44B8" w14:textId="77777777" w:rsidR="00AD5D3F" w:rsidRPr="00DE0F43" w:rsidRDefault="00AD5D3F" w:rsidP="00AD5D3F">
      <w:pPr>
        <w:pStyle w:val="EndNoteBibliography"/>
        <w:spacing w:after="240"/>
        <w:ind w:left="720" w:hanging="720"/>
        <w:rPr>
          <w:szCs w:val="24"/>
        </w:rPr>
      </w:pPr>
      <w:r w:rsidRPr="00DE0F43">
        <w:rPr>
          <w:szCs w:val="24"/>
        </w:rPr>
        <w:t xml:space="preserve">Bonini Campos, J. A. D., Zucoloto, M. L., Sampaio Bonafé, F. S., Jordani, P. C., &amp; Maroco, J. (2011). Reliability and validity of self-reported burnout in college students: A cross randomized comparison of paper-and-pencil vs online administration. </w:t>
      </w:r>
      <w:r w:rsidRPr="00DE0F43">
        <w:rPr>
          <w:i/>
          <w:szCs w:val="24"/>
        </w:rPr>
        <w:t>Computers in Human Behavior</w:t>
      </w:r>
      <w:r w:rsidRPr="00DE0F43">
        <w:rPr>
          <w:szCs w:val="24"/>
        </w:rPr>
        <w:t>,</w:t>
      </w:r>
      <w:r w:rsidRPr="00DE0F43">
        <w:rPr>
          <w:i/>
          <w:szCs w:val="24"/>
        </w:rPr>
        <w:t xml:space="preserve"> 27</w:t>
      </w:r>
      <w:r w:rsidRPr="00DE0F43">
        <w:rPr>
          <w:szCs w:val="24"/>
        </w:rPr>
        <w:t xml:space="preserve">(5), 1875-1883. </w:t>
      </w:r>
      <w:r w:rsidRPr="001C56A3">
        <w:rPr>
          <w:szCs w:val="24"/>
        </w:rPr>
        <w:t>https://doi.org/10.1016/j.chb.2011.04.011</w:t>
      </w:r>
      <w:r w:rsidRPr="00DE0F43">
        <w:rPr>
          <w:szCs w:val="24"/>
        </w:rPr>
        <w:t xml:space="preserve"> </w:t>
      </w:r>
    </w:p>
    <w:p w14:paraId="16581E4A" w14:textId="0EF1A3F9" w:rsidR="00AD5D3F" w:rsidRPr="00DE0F43" w:rsidRDefault="00AD5D3F" w:rsidP="00AD5D3F">
      <w:pPr>
        <w:pStyle w:val="EndNoteBibliography"/>
        <w:spacing w:after="240"/>
        <w:ind w:left="720" w:hanging="720"/>
        <w:rPr>
          <w:szCs w:val="24"/>
        </w:rPr>
      </w:pPr>
      <w:r w:rsidRPr="00DE0F43">
        <w:rPr>
          <w:szCs w:val="24"/>
        </w:rPr>
        <w:t xml:space="preserve">Brooks, S. (2015). Does personal social media usage affect efficiency and well-being? </w:t>
      </w:r>
      <w:r w:rsidRPr="00DE0F43">
        <w:rPr>
          <w:i/>
          <w:szCs w:val="24"/>
        </w:rPr>
        <w:t>Computers in Human Behavior</w:t>
      </w:r>
      <w:r w:rsidRPr="00DE0F43">
        <w:rPr>
          <w:szCs w:val="24"/>
        </w:rPr>
        <w:t>,</w:t>
      </w:r>
      <w:r w:rsidRPr="00DE0F43">
        <w:rPr>
          <w:i/>
          <w:szCs w:val="24"/>
        </w:rPr>
        <w:t xml:space="preserve"> 46</w:t>
      </w:r>
      <w:r w:rsidRPr="00DE0F43">
        <w:rPr>
          <w:szCs w:val="24"/>
        </w:rPr>
        <w:t xml:space="preserve">, 26-37. </w:t>
      </w:r>
      <w:r w:rsidRPr="001C56A3">
        <w:rPr>
          <w:szCs w:val="24"/>
        </w:rPr>
        <w:t>https://doi.org/10.1016/j.chb.2014.12.053</w:t>
      </w:r>
      <w:r w:rsidRPr="00DE0F43">
        <w:rPr>
          <w:szCs w:val="24"/>
        </w:rPr>
        <w:t xml:space="preserve"> </w:t>
      </w:r>
    </w:p>
    <w:p w14:paraId="4D8EAF62" w14:textId="6A7957D0" w:rsidR="00AD5D3F" w:rsidRPr="00DE0F43" w:rsidRDefault="00AD5D3F" w:rsidP="00AD5D3F">
      <w:pPr>
        <w:pStyle w:val="EndNoteBibliography"/>
        <w:spacing w:after="240"/>
        <w:ind w:left="720" w:hanging="720"/>
        <w:rPr>
          <w:szCs w:val="24"/>
        </w:rPr>
      </w:pPr>
      <w:r w:rsidRPr="00DE0F43">
        <w:rPr>
          <w:szCs w:val="24"/>
        </w:rPr>
        <w:t xml:space="preserve">Bunduchi, R., Tursunbayeva, A., &amp; Pagliari, C. (2019). Coping with institutional complexity : Intersecting logics and dissonant visions in a nation-wide healthcare IT implementation project. </w:t>
      </w:r>
      <w:r w:rsidRPr="00DE0F43">
        <w:rPr>
          <w:i/>
          <w:szCs w:val="24"/>
        </w:rPr>
        <w:t>Information Technology &amp; People</w:t>
      </w:r>
      <w:r w:rsidRPr="00DE0F43">
        <w:rPr>
          <w:szCs w:val="24"/>
        </w:rPr>
        <w:t>,</w:t>
      </w:r>
      <w:r w:rsidRPr="00DE0F43">
        <w:rPr>
          <w:i/>
          <w:szCs w:val="24"/>
        </w:rPr>
        <w:t xml:space="preserve"> 33</w:t>
      </w:r>
      <w:r w:rsidRPr="00DE0F43">
        <w:rPr>
          <w:szCs w:val="24"/>
        </w:rPr>
        <w:t xml:space="preserve">(1), 311-339. </w:t>
      </w:r>
      <w:r w:rsidRPr="001C56A3">
        <w:rPr>
          <w:szCs w:val="24"/>
        </w:rPr>
        <w:t>https://doi.org/10.1108/ITP-08-2018-0373</w:t>
      </w:r>
      <w:r w:rsidRPr="00DE0F43">
        <w:rPr>
          <w:szCs w:val="24"/>
        </w:rPr>
        <w:t xml:space="preserve"> </w:t>
      </w:r>
    </w:p>
    <w:p w14:paraId="75EB2CC6" w14:textId="1E85B0FC" w:rsidR="00AD5D3F" w:rsidRPr="00DE0F43" w:rsidRDefault="00AD5D3F" w:rsidP="00AD5D3F">
      <w:pPr>
        <w:pStyle w:val="EndNoteBibliography"/>
        <w:spacing w:after="240"/>
        <w:ind w:left="720" w:hanging="720"/>
        <w:rPr>
          <w:szCs w:val="24"/>
        </w:rPr>
      </w:pPr>
      <w:r w:rsidRPr="00DE0F43">
        <w:rPr>
          <w:szCs w:val="24"/>
        </w:rPr>
        <w:t xml:space="preserve">Burns, A. J., Roberts, T. L., Posey, C., &amp; Lowry, P. B. (2019). The Adaptive Roles of Positive and Negative Emotions in Organizational Insiders' Security-Based Precaution Taking. </w:t>
      </w:r>
      <w:r w:rsidRPr="00DE0F43">
        <w:rPr>
          <w:i/>
          <w:szCs w:val="24"/>
        </w:rPr>
        <w:t>Information Systems Research</w:t>
      </w:r>
      <w:r w:rsidRPr="00DE0F43">
        <w:rPr>
          <w:szCs w:val="24"/>
        </w:rPr>
        <w:t>,</w:t>
      </w:r>
      <w:r w:rsidRPr="00DE0F43">
        <w:rPr>
          <w:i/>
          <w:szCs w:val="24"/>
        </w:rPr>
        <w:t xml:space="preserve"> 30</w:t>
      </w:r>
      <w:r w:rsidRPr="00DE0F43">
        <w:rPr>
          <w:szCs w:val="24"/>
        </w:rPr>
        <w:t xml:space="preserve">(4), 1228-1247. </w:t>
      </w:r>
      <w:r w:rsidRPr="001C56A3">
        <w:rPr>
          <w:szCs w:val="24"/>
        </w:rPr>
        <w:t>https://doi.org/10.1287/isre.2019.0860</w:t>
      </w:r>
      <w:r w:rsidRPr="00DE0F43">
        <w:rPr>
          <w:szCs w:val="24"/>
        </w:rPr>
        <w:t xml:space="preserve"> </w:t>
      </w:r>
    </w:p>
    <w:p w14:paraId="5A219087" w14:textId="4C2ABC46" w:rsidR="00AD5D3F" w:rsidRPr="00DE0F43" w:rsidRDefault="00AD5D3F" w:rsidP="00AD5D3F">
      <w:pPr>
        <w:pStyle w:val="EndNoteBibliography"/>
        <w:spacing w:after="240"/>
        <w:ind w:left="720" w:hanging="720"/>
        <w:rPr>
          <w:szCs w:val="24"/>
        </w:rPr>
      </w:pPr>
      <w:r w:rsidRPr="00DE0F43">
        <w:rPr>
          <w:szCs w:val="24"/>
        </w:rPr>
        <w:t xml:space="preserve">Camacho, S., Hassanein, K., &amp; Head, M. (2018). Cyberbullying impacts on victims’ satisfaction with information and communication technologies: The role of Perceived Cyberbullying Severity. </w:t>
      </w:r>
      <w:r w:rsidRPr="00DE0F43">
        <w:rPr>
          <w:i/>
          <w:szCs w:val="24"/>
        </w:rPr>
        <w:t>Information &amp; Management</w:t>
      </w:r>
      <w:r w:rsidRPr="00DE0F43">
        <w:rPr>
          <w:szCs w:val="24"/>
        </w:rPr>
        <w:t>,</w:t>
      </w:r>
      <w:r w:rsidRPr="00DE0F43">
        <w:rPr>
          <w:i/>
          <w:szCs w:val="24"/>
        </w:rPr>
        <w:t xml:space="preserve"> 55</w:t>
      </w:r>
      <w:r w:rsidRPr="00DE0F43">
        <w:rPr>
          <w:szCs w:val="24"/>
        </w:rPr>
        <w:t xml:space="preserve">(4), 494-507. </w:t>
      </w:r>
      <w:r w:rsidRPr="001C56A3">
        <w:rPr>
          <w:szCs w:val="24"/>
        </w:rPr>
        <w:t>https://doi.org/10.1016/j.im.2017.11.004</w:t>
      </w:r>
      <w:r w:rsidRPr="00DE0F43">
        <w:rPr>
          <w:szCs w:val="24"/>
        </w:rPr>
        <w:t xml:space="preserve"> </w:t>
      </w:r>
    </w:p>
    <w:p w14:paraId="54B27AC3" w14:textId="672C4B31" w:rsidR="00AD5D3F" w:rsidRPr="00DE0F43" w:rsidRDefault="00AD5D3F" w:rsidP="00AD5D3F">
      <w:pPr>
        <w:pStyle w:val="EndNoteBibliography"/>
        <w:spacing w:after="240"/>
        <w:ind w:left="720" w:hanging="720"/>
        <w:rPr>
          <w:szCs w:val="24"/>
        </w:rPr>
      </w:pPr>
      <w:r w:rsidRPr="00DE0F43">
        <w:rPr>
          <w:szCs w:val="24"/>
        </w:rPr>
        <w:t xml:space="preserve">Cameron, A.-F., Webster, J., Barki, H., &amp; de Guinea, A. O. (2016). Four common multicommunicating misconceptions </w:t>
      </w:r>
      <w:r w:rsidRPr="00DE0F43">
        <w:rPr>
          <w:i/>
          <w:szCs w:val="24"/>
        </w:rPr>
        <w:t>European Journal of Information Systems</w:t>
      </w:r>
      <w:r w:rsidRPr="00DE0F43">
        <w:rPr>
          <w:szCs w:val="24"/>
        </w:rPr>
        <w:t>,</w:t>
      </w:r>
      <w:r w:rsidRPr="00DE0F43">
        <w:rPr>
          <w:i/>
          <w:szCs w:val="24"/>
        </w:rPr>
        <w:t xml:space="preserve"> 25</w:t>
      </w:r>
      <w:r w:rsidRPr="00DE0F43">
        <w:rPr>
          <w:szCs w:val="24"/>
        </w:rPr>
        <w:t xml:space="preserve">(5), 465-471. </w:t>
      </w:r>
      <w:r w:rsidRPr="001C56A3">
        <w:rPr>
          <w:szCs w:val="24"/>
        </w:rPr>
        <w:t>https://doi.org/10.1057/ejis.2016.8</w:t>
      </w:r>
      <w:r w:rsidRPr="00DE0F43">
        <w:rPr>
          <w:szCs w:val="24"/>
        </w:rPr>
        <w:t xml:space="preserve"> </w:t>
      </w:r>
    </w:p>
    <w:p w14:paraId="5E1C5E02" w14:textId="294D786F" w:rsidR="00AD5D3F" w:rsidRPr="00DE0F43" w:rsidRDefault="00AD5D3F" w:rsidP="00AD5D3F">
      <w:pPr>
        <w:pStyle w:val="EndNoteBibliography"/>
        <w:spacing w:after="240"/>
        <w:ind w:left="720" w:hanging="720"/>
        <w:rPr>
          <w:szCs w:val="24"/>
        </w:rPr>
      </w:pPr>
      <w:r w:rsidRPr="00DE0F43">
        <w:rPr>
          <w:szCs w:val="24"/>
        </w:rPr>
        <w:t xml:space="preserve">Campos, J. A. D. B., Zucoloto, M. L., Bonafé, F. S. S., Jordani, P. C., &amp; Maroco, J. (2011). Reliability and validity of self-reported burnout in college students: A cross randomized comparison of paper-and-pencil vs. online administration </w:t>
      </w:r>
      <w:r w:rsidRPr="00DE0F43">
        <w:rPr>
          <w:i/>
          <w:szCs w:val="24"/>
        </w:rPr>
        <w:t>Computers in Human Behavior</w:t>
      </w:r>
      <w:r w:rsidRPr="00DE0F43">
        <w:rPr>
          <w:szCs w:val="24"/>
        </w:rPr>
        <w:t>,</w:t>
      </w:r>
      <w:r w:rsidRPr="00DE0F43">
        <w:rPr>
          <w:i/>
          <w:szCs w:val="24"/>
        </w:rPr>
        <w:t xml:space="preserve"> 27</w:t>
      </w:r>
      <w:r w:rsidRPr="00DE0F43">
        <w:rPr>
          <w:szCs w:val="24"/>
        </w:rPr>
        <w:t xml:space="preserve">(5), 1875-1883. </w:t>
      </w:r>
      <w:r w:rsidRPr="001C56A3">
        <w:rPr>
          <w:szCs w:val="24"/>
        </w:rPr>
        <w:t>https://doi.org/10.1016/j.chb.2011.04.011</w:t>
      </w:r>
      <w:r w:rsidRPr="00DE0F43">
        <w:rPr>
          <w:szCs w:val="24"/>
        </w:rPr>
        <w:t xml:space="preserve"> </w:t>
      </w:r>
    </w:p>
    <w:p w14:paraId="014F6466" w14:textId="1C1207CD" w:rsidR="00AD5D3F" w:rsidRPr="00DE0F43" w:rsidRDefault="00AD5D3F" w:rsidP="00AD5D3F">
      <w:pPr>
        <w:pStyle w:val="EndNoteBibliography"/>
        <w:spacing w:after="240"/>
        <w:ind w:left="720" w:hanging="720"/>
        <w:rPr>
          <w:szCs w:val="24"/>
        </w:rPr>
      </w:pPr>
      <w:r w:rsidRPr="00DE0F43">
        <w:rPr>
          <w:szCs w:val="24"/>
        </w:rPr>
        <w:lastRenderedPageBreak/>
        <w:t xml:space="preserve">Cappel, J. J., &amp; Zhenyu, H. (2007). A Usability Analysis Of Company Websites </w:t>
      </w:r>
      <w:r w:rsidRPr="00DE0F43">
        <w:rPr>
          <w:i/>
          <w:szCs w:val="24"/>
        </w:rPr>
        <w:t>Journal of Computer Information Systems</w:t>
      </w:r>
      <w:r w:rsidRPr="00DE0F43">
        <w:rPr>
          <w:szCs w:val="24"/>
        </w:rPr>
        <w:t>,</w:t>
      </w:r>
      <w:r w:rsidRPr="00DE0F43">
        <w:rPr>
          <w:i/>
          <w:szCs w:val="24"/>
        </w:rPr>
        <w:t xml:space="preserve"> 48</w:t>
      </w:r>
      <w:r w:rsidRPr="00DE0F43">
        <w:rPr>
          <w:szCs w:val="24"/>
        </w:rPr>
        <w:t xml:space="preserve">(1), 117-123. </w:t>
      </w:r>
    </w:p>
    <w:p w14:paraId="5DCB3F38" w14:textId="7AC21644" w:rsidR="00AD5D3F" w:rsidRPr="00DE0F43" w:rsidRDefault="00AD5D3F" w:rsidP="00AD5D3F">
      <w:pPr>
        <w:pStyle w:val="EndNoteBibliography"/>
        <w:spacing w:after="240"/>
        <w:ind w:left="720" w:hanging="720"/>
        <w:rPr>
          <w:szCs w:val="24"/>
        </w:rPr>
      </w:pPr>
      <w:r w:rsidRPr="00DE0F43">
        <w:rPr>
          <w:szCs w:val="24"/>
        </w:rPr>
        <w:t xml:space="preserve">Carillo, K., Scornavacca, E., &amp; Za, S. (2017). The role of media dependency in predicting continuance intention to use ubiquitous media systems </w:t>
      </w:r>
      <w:r w:rsidRPr="00DE0F43">
        <w:rPr>
          <w:i/>
          <w:szCs w:val="24"/>
        </w:rPr>
        <w:t>Information &amp; Management</w:t>
      </w:r>
      <w:r w:rsidRPr="00DE0F43">
        <w:rPr>
          <w:szCs w:val="24"/>
        </w:rPr>
        <w:t>,</w:t>
      </w:r>
      <w:r w:rsidRPr="00DE0F43">
        <w:rPr>
          <w:i/>
          <w:szCs w:val="24"/>
        </w:rPr>
        <w:t xml:space="preserve"> 54</w:t>
      </w:r>
      <w:r w:rsidRPr="00DE0F43">
        <w:rPr>
          <w:szCs w:val="24"/>
        </w:rPr>
        <w:t xml:space="preserve">(3), 317-335. </w:t>
      </w:r>
      <w:r w:rsidRPr="001C56A3">
        <w:rPr>
          <w:szCs w:val="24"/>
        </w:rPr>
        <w:t>https://doi.org/10.1016/j.im.2016.09.002</w:t>
      </w:r>
      <w:r w:rsidRPr="00DE0F43">
        <w:rPr>
          <w:szCs w:val="24"/>
        </w:rPr>
        <w:t xml:space="preserve"> </w:t>
      </w:r>
    </w:p>
    <w:p w14:paraId="594540F4" w14:textId="77777777" w:rsidR="00AD5D3F" w:rsidRPr="00DE0F43" w:rsidRDefault="00AD5D3F" w:rsidP="00AD5D3F">
      <w:pPr>
        <w:pStyle w:val="EndNoteBibliography"/>
        <w:spacing w:after="240"/>
        <w:ind w:left="720" w:hanging="720"/>
        <w:rPr>
          <w:szCs w:val="24"/>
        </w:rPr>
      </w:pPr>
      <w:r w:rsidRPr="00DE0F43">
        <w:rPr>
          <w:szCs w:val="24"/>
        </w:rPr>
        <w:t xml:space="preserve">Ceccagnoli, M., Forman, C., Huang, P., &amp; Wu, D. (2012). Cocreation of value in a platform ecosystem! The case of enterprise software. </w:t>
      </w:r>
      <w:r w:rsidRPr="00DE0F43">
        <w:rPr>
          <w:i/>
          <w:szCs w:val="24"/>
        </w:rPr>
        <w:t>MIS Quarterly</w:t>
      </w:r>
      <w:r w:rsidRPr="00DE0F43">
        <w:rPr>
          <w:szCs w:val="24"/>
        </w:rPr>
        <w:t>,</w:t>
      </w:r>
      <w:r w:rsidRPr="00DE0F43">
        <w:rPr>
          <w:i/>
          <w:szCs w:val="24"/>
        </w:rPr>
        <w:t xml:space="preserve"> 36</w:t>
      </w:r>
      <w:r w:rsidRPr="00DE0F43">
        <w:rPr>
          <w:szCs w:val="24"/>
        </w:rPr>
        <w:t xml:space="preserve">(1), 263-290. </w:t>
      </w:r>
    </w:p>
    <w:p w14:paraId="50D9AE60" w14:textId="02DD23E5" w:rsidR="00AD5D3F" w:rsidRPr="00DE0F43" w:rsidRDefault="00AD5D3F" w:rsidP="00AD5D3F">
      <w:pPr>
        <w:pStyle w:val="EndNoteBibliography"/>
        <w:spacing w:after="240"/>
        <w:ind w:left="720" w:hanging="720"/>
        <w:rPr>
          <w:szCs w:val="24"/>
        </w:rPr>
      </w:pPr>
      <w:r w:rsidRPr="00DE0F43">
        <w:rPr>
          <w:szCs w:val="24"/>
        </w:rPr>
        <w:t xml:space="preserve">Chen, A., &amp; Roberts, N. (2020). Connecting personality traits to social networking site addiction: the mediating role of motives </w:t>
      </w:r>
      <w:r w:rsidRPr="00DE0F43">
        <w:rPr>
          <w:i/>
          <w:szCs w:val="24"/>
        </w:rPr>
        <w:t>Information Technology &amp; People</w:t>
      </w:r>
      <w:r w:rsidRPr="00DE0F43">
        <w:rPr>
          <w:szCs w:val="24"/>
        </w:rPr>
        <w:t>,</w:t>
      </w:r>
      <w:r w:rsidRPr="00DE0F43">
        <w:rPr>
          <w:i/>
          <w:szCs w:val="24"/>
        </w:rPr>
        <w:t xml:space="preserve"> 33</w:t>
      </w:r>
      <w:r w:rsidRPr="00DE0F43">
        <w:rPr>
          <w:szCs w:val="24"/>
        </w:rPr>
        <w:t xml:space="preserve">(2), 633-656. </w:t>
      </w:r>
      <w:r w:rsidRPr="001C56A3">
        <w:rPr>
          <w:szCs w:val="24"/>
        </w:rPr>
        <w:t>https://doi.org/10.1108/ITP-01-2019-0025</w:t>
      </w:r>
      <w:r w:rsidRPr="00DE0F43">
        <w:rPr>
          <w:szCs w:val="24"/>
        </w:rPr>
        <w:t xml:space="preserve"> </w:t>
      </w:r>
    </w:p>
    <w:p w14:paraId="4A037BA1" w14:textId="77777777" w:rsidR="00AD5D3F" w:rsidRPr="00DE0F43" w:rsidRDefault="00AD5D3F" w:rsidP="00AD5D3F">
      <w:pPr>
        <w:pStyle w:val="EndNoteBibliography"/>
        <w:spacing w:after="240"/>
        <w:ind w:left="720" w:hanging="720"/>
        <w:rPr>
          <w:szCs w:val="24"/>
        </w:rPr>
      </w:pPr>
      <w:r w:rsidRPr="00DE0F43">
        <w:rPr>
          <w:szCs w:val="24"/>
        </w:rPr>
        <w:t xml:space="preserve">Chen, C., Zhang, K. Z., Gong, X., Lee, M. K., &amp; Wang, Y. (2020). Decreasing the problematic use of an information system: An empirical investigation of smartphone game players. </w:t>
      </w:r>
      <w:r w:rsidRPr="00DE0F43">
        <w:rPr>
          <w:i/>
          <w:szCs w:val="24"/>
        </w:rPr>
        <w:t>Information Systems Journal</w:t>
      </w:r>
      <w:r w:rsidRPr="00DE0F43">
        <w:rPr>
          <w:szCs w:val="24"/>
        </w:rPr>
        <w:t>,</w:t>
      </w:r>
      <w:r w:rsidRPr="00DE0F43">
        <w:rPr>
          <w:i/>
          <w:szCs w:val="24"/>
        </w:rPr>
        <w:t xml:space="preserve"> 30</w:t>
      </w:r>
      <w:r w:rsidRPr="00DE0F43">
        <w:rPr>
          <w:szCs w:val="24"/>
        </w:rPr>
        <w:t xml:space="preserve">(3), 492-534. </w:t>
      </w:r>
    </w:p>
    <w:p w14:paraId="02AAB8C4" w14:textId="0DDCCE54" w:rsidR="00AD5D3F" w:rsidRPr="00DE0F43" w:rsidRDefault="00AD5D3F" w:rsidP="00AD5D3F">
      <w:pPr>
        <w:pStyle w:val="EndNoteBibliography"/>
        <w:spacing w:after="240"/>
        <w:ind w:left="720" w:hanging="720"/>
        <w:rPr>
          <w:szCs w:val="24"/>
        </w:rPr>
      </w:pPr>
      <w:r w:rsidRPr="00DE0F43">
        <w:rPr>
          <w:szCs w:val="24"/>
        </w:rPr>
        <w:t xml:space="preserve">Chen, H., &amp; Li, W. (2017). Mobile device users’ privacy security assurance behavior: A technology threat avoidance perspective. </w:t>
      </w:r>
      <w:r w:rsidRPr="00DE0F43">
        <w:rPr>
          <w:i/>
          <w:szCs w:val="24"/>
        </w:rPr>
        <w:t>Information and Computer Security</w:t>
      </w:r>
      <w:r w:rsidRPr="00DE0F43">
        <w:rPr>
          <w:szCs w:val="24"/>
        </w:rPr>
        <w:t>,</w:t>
      </w:r>
      <w:r w:rsidRPr="00DE0F43">
        <w:rPr>
          <w:i/>
          <w:szCs w:val="24"/>
        </w:rPr>
        <w:t xml:space="preserve"> 25</w:t>
      </w:r>
      <w:r w:rsidRPr="00DE0F43">
        <w:rPr>
          <w:szCs w:val="24"/>
        </w:rPr>
        <w:t xml:space="preserve">(3), 330. </w:t>
      </w:r>
    </w:p>
    <w:p w14:paraId="6A7EF28B" w14:textId="77777777" w:rsidR="00AD5D3F" w:rsidRPr="00DE0F43" w:rsidRDefault="00AD5D3F" w:rsidP="00AD5D3F">
      <w:pPr>
        <w:pStyle w:val="EndNoteBibliography"/>
        <w:spacing w:after="240"/>
        <w:ind w:left="720" w:hanging="720"/>
        <w:rPr>
          <w:szCs w:val="24"/>
        </w:rPr>
      </w:pPr>
      <w:r w:rsidRPr="00DE0F43">
        <w:rPr>
          <w:szCs w:val="24"/>
        </w:rPr>
        <w:t xml:space="preserve">Chen, R. R., Ou, C. X., Wang, W., Peng, Z., &amp; Davison, R. M. (2020). Moving beyond the direct impact of using CRM systems on frontline employees' service performance: The mediating role of adaptive behaviour. </w:t>
      </w:r>
      <w:r w:rsidRPr="00DE0F43">
        <w:rPr>
          <w:i/>
          <w:szCs w:val="24"/>
        </w:rPr>
        <w:t>Information Systems Journal</w:t>
      </w:r>
      <w:r w:rsidRPr="00DE0F43">
        <w:rPr>
          <w:szCs w:val="24"/>
        </w:rPr>
        <w:t>,</w:t>
      </w:r>
      <w:r w:rsidRPr="00DE0F43">
        <w:rPr>
          <w:i/>
          <w:szCs w:val="24"/>
        </w:rPr>
        <w:t xml:space="preserve"> 30</w:t>
      </w:r>
      <w:r w:rsidRPr="00DE0F43">
        <w:rPr>
          <w:szCs w:val="24"/>
        </w:rPr>
        <w:t xml:space="preserve">(3), 458-491. </w:t>
      </w:r>
    </w:p>
    <w:p w14:paraId="232BB94F" w14:textId="543434FA" w:rsidR="00AD5D3F" w:rsidRPr="00DE0F43" w:rsidRDefault="00AD5D3F" w:rsidP="00AD5D3F">
      <w:pPr>
        <w:pStyle w:val="EndNoteBibliography"/>
        <w:spacing w:after="240"/>
        <w:ind w:left="720" w:hanging="720"/>
        <w:rPr>
          <w:szCs w:val="24"/>
        </w:rPr>
      </w:pPr>
      <w:r w:rsidRPr="00DE0F43">
        <w:rPr>
          <w:szCs w:val="24"/>
        </w:rPr>
        <w:t xml:space="preserve">Chen, Y., &amp; Zahedi, F. M. (2016). Individuals' internet security perceptions and behaviors: Polycontextual contrasts between United Stated and China. </w:t>
      </w:r>
      <w:r w:rsidRPr="00DE0F43">
        <w:rPr>
          <w:i/>
          <w:szCs w:val="24"/>
        </w:rPr>
        <w:t>MIS Quarterly</w:t>
      </w:r>
      <w:r w:rsidRPr="00DE0F43">
        <w:rPr>
          <w:szCs w:val="24"/>
        </w:rPr>
        <w:t>,</w:t>
      </w:r>
      <w:r w:rsidRPr="00DE0F43">
        <w:rPr>
          <w:i/>
          <w:szCs w:val="24"/>
        </w:rPr>
        <w:t xml:space="preserve"> 40</w:t>
      </w:r>
      <w:r w:rsidRPr="00DE0F43">
        <w:rPr>
          <w:szCs w:val="24"/>
        </w:rPr>
        <w:t xml:space="preserve">(1), 205-A212. </w:t>
      </w:r>
    </w:p>
    <w:p w14:paraId="5F70CB03" w14:textId="78B6BEF6" w:rsidR="00AD5D3F" w:rsidRPr="00DE0F43" w:rsidRDefault="00AD5D3F" w:rsidP="00AD5D3F">
      <w:pPr>
        <w:pStyle w:val="EndNoteBibliography"/>
        <w:spacing w:after="240"/>
        <w:ind w:left="720" w:hanging="720"/>
        <w:rPr>
          <w:szCs w:val="24"/>
        </w:rPr>
      </w:pPr>
      <w:r w:rsidRPr="00DE0F43">
        <w:rPr>
          <w:szCs w:val="24"/>
        </w:rPr>
        <w:t xml:space="preserve">Chesney, T., Coyne, I., Logan, B., &amp; Madden, N. (2009). Griefing in virtual worlds: causes, casualties and coping strategies </w:t>
      </w:r>
      <w:r w:rsidRPr="00DE0F43">
        <w:rPr>
          <w:i/>
          <w:szCs w:val="24"/>
        </w:rPr>
        <w:t>Information Systems Journal</w:t>
      </w:r>
      <w:r w:rsidRPr="00DE0F43">
        <w:rPr>
          <w:szCs w:val="24"/>
        </w:rPr>
        <w:t>,</w:t>
      </w:r>
      <w:r w:rsidRPr="00DE0F43">
        <w:rPr>
          <w:i/>
          <w:szCs w:val="24"/>
        </w:rPr>
        <w:t xml:space="preserve"> 19</w:t>
      </w:r>
      <w:r w:rsidRPr="00DE0F43">
        <w:rPr>
          <w:szCs w:val="24"/>
        </w:rPr>
        <w:t xml:space="preserve">(6), 525-548. </w:t>
      </w:r>
      <w:r w:rsidRPr="001C56A3">
        <w:rPr>
          <w:szCs w:val="24"/>
        </w:rPr>
        <w:t>https://doi.org/10.1111/j.1365-2575.2009.00330.x</w:t>
      </w:r>
      <w:r w:rsidRPr="00DE0F43">
        <w:rPr>
          <w:szCs w:val="24"/>
        </w:rPr>
        <w:t xml:space="preserve"> </w:t>
      </w:r>
    </w:p>
    <w:p w14:paraId="05291E97" w14:textId="15C8DB1C" w:rsidR="00AD5D3F" w:rsidRPr="00DE0F43" w:rsidRDefault="00AD5D3F" w:rsidP="00AD5D3F">
      <w:pPr>
        <w:pStyle w:val="EndNoteBibliography"/>
        <w:spacing w:after="240"/>
        <w:ind w:left="720" w:hanging="720"/>
        <w:rPr>
          <w:szCs w:val="24"/>
        </w:rPr>
      </w:pPr>
      <w:r w:rsidRPr="00DE0F43">
        <w:rPr>
          <w:szCs w:val="24"/>
        </w:rPr>
        <w:t xml:space="preserve">Chiba, D., Akiyama, M., Yagi, T., Hato, K., Mori, T., &amp; Goto, S. (2018). DomainChroma: Building actionable threat intelligence from malicious domain names </w:t>
      </w:r>
      <w:r w:rsidRPr="00DE0F43">
        <w:rPr>
          <w:i/>
          <w:szCs w:val="24"/>
        </w:rPr>
        <w:t>Computers &amp; Security</w:t>
      </w:r>
      <w:r w:rsidRPr="00DE0F43">
        <w:rPr>
          <w:szCs w:val="24"/>
        </w:rPr>
        <w:t>,</w:t>
      </w:r>
      <w:r w:rsidRPr="00DE0F43">
        <w:rPr>
          <w:i/>
          <w:szCs w:val="24"/>
        </w:rPr>
        <w:t xml:space="preserve"> 77</w:t>
      </w:r>
      <w:r w:rsidRPr="00DE0F43">
        <w:rPr>
          <w:szCs w:val="24"/>
        </w:rPr>
        <w:t xml:space="preserve">, 138-161. </w:t>
      </w:r>
      <w:r w:rsidRPr="001C56A3">
        <w:rPr>
          <w:szCs w:val="24"/>
        </w:rPr>
        <w:t>https://doi.org/10.1016/j.cose.2018.03.013</w:t>
      </w:r>
      <w:r w:rsidRPr="00DE0F43">
        <w:rPr>
          <w:szCs w:val="24"/>
        </w:rPr>
        <w:t xml:space="preserve"> </w:t>
      </w:r>
    </w:p>
    <w:p w14:paraId="15873AEF" w14:textId="558A6F67" w:rsidR="00AD5D3F" w:rsidRPr="00DE0F43" w:rsidRDefault="00AD5D3F" w:rsidP="00AD5D3F">
      <w:pPr>
        <w:pStyle w:val="EndNoteBibliography"/>
        <w:spacing w:after="240"/>
        <w:ind w:left="720" w:hanging="720"/>
        <w:rPr>
          <w:szCs w:val="24"/>
        </w:rPr>
      </w:pPr>
      <w:r w:rsidRPr="00DE0F43">
        <w:rPr>
          <w:szCs w:val="24"/>
        </w:rPr>
        <w:t xml:space="preserve">Choi, H., Park, J., &amp; Jung, Y. (2018). The role of privacy fatigue in online privacy behavior </w:t>
      </w:r>
      <w:r w:rsidRPr="00DE0F43">
        <w:rPr>
          <w:i/>
          <w:szCs w:val="24"/>
        </w:rPr>
        <w:t>Computers in Human Behavior</w:t>
      </w:r>
      <w:r w:rsidRPr="00DE0F43">
        <w:rPr>
          <w:szCs w:val="24"/>
        </w:rPr>
        <w:t>,</w:t>
      </w:r>
      <w:r w:rsidRPr="00DE0F43">
        <w:rPr>
          <w:i/>
          <w:szCs w:val="24"/>
        </w:rPr>
        <w:t xml:space="preserve"> 81</w:t>
      </w:r>
      <w:r w:rsidRPr="00DE0F43">
        <w:rPr>
          <w:szCs w:val="24"/>
        </w:rPr>
        <w:t xml:space="preserve">, 42-51. </w:t>
      </w:r>
      <w:r w:rsidRPr="001C56A3">
        <w:rPr>
          <w:szCs w:val="24"/>
        </w:rPr>
        <w:t>https://doi.org/10.1016/j.chb.2017.12.001</w:t>
      </w:r>
      <w:r w:rsidRPr="00DE0F43">
        <w:rPr>
          <w:szCs w:val="24"/>
        </w:rPr>
        <w:t xml:space="preserve"> </w:t>
      </w:r>
    </w:p>
    <w:p w14:paraId="7FEC9F83" w14:textId="3AE09F08" w:rsidR="00AD5D3F" w:rsidRPr="00DE0F43" w:rsidRDefault="00AD5D3F" w:rsidP="00AD5D3F">
      <w:pPr>
        <w:pStyle w:val="EndNoteBibliography"/>
        <w:spacing w:after="240"/>
        <w:ind w:left="720" w:hanging="720"/>
        <w:rPr>
          <w:szCs w:val="24"/>
        </w:rPr>
      </w:pPr>
      <w:r w:rsidRPr="00DE0F43">
        <w:rPr>
          <w:szCs w:val="24"/>
        </w:rPr>
        <w:t xml:space="preserve">Church, E. M., &amp; Thambusamy, R. (2018). Competition and Information Deception in Online Social Networks </w:t>
      </w:r>
      <w:r w:rsidRPr="00DE0F43">
        <w:rPr>
          <w:i/>
          <w:szCs w:val="24"/>
        </w:rPr>
        <w:t>Journal of Computer Information Systems</w:t>
      </w:r>
      <w:r w:rsidRPr="00DE0F43">
        <w:rPr>
          <w:szCs w:val="24"/>
        </w:rPr>
        <w:t>,</w:t>
      </w:r>
      <w:r w:rsidRPr="00DE0F43">
        <w:rPr>
          <w:i/>
          <w:szCs w:val="24"/>
        </w:rPr>
        <w:t xml:space="preserve"> 58</w:t>
      </w:r>
      <w:r w:rsidRPr="00DE0F43">
        <w:rPr>
          <w:szCs w:val="24"/>
        </w:rPr>
        <w:t xml:space="preserve">(3), 274-281. </w:t>
      </w:r>
      <w:r w:rsidRPr="001C56A3">
        <w:rPr>
          <w:szCs w:val="24"/>
        </w:rPr>
        <w:t>https://doi.org/10.1080/08874417.2016.1261376</w:t>
      </w:r>
      <w:r w:rsidRPr="00DE0F43">
        <w:rPr>
          <w:szCs w:val="24"/>
        </w:rPr>
        <w:t xml:space="preserve"> </w:t>
      </w:r>
    </w:p>
    <w:p w14:paraId="33B069BD" w14:textId="77777777" w:rsidR="00AD5D3F" w:rsidRPr="00DE0F43" w:rsidRDefault="00AD5D3F" w:rsidP="00AD5D3F">
      <w:pPr>
        <w:pStyle w:val="EndNoteBibliography"/>
        <w:spacing w:after="240"/>
        <w:ind w:left="720" w:hanging="720"/>
        <w:rPr>
          <w:szCs w:val="24"/>
        </w:rPr>
      </w:pPr>
      <w:r w:rsidRPr="00DE0F43">
        <w:rPr>
          <w:szCs w:val="24"/>
        </w:rPr>
        <w:t xml:space="preserve">Ciborra Claudio, U., &amp; Hanseth, O. (1998). From tool to Gestell : Agendas for managing the information infrastructure. </w:t>
      </w:r>
      <w:r w:rsidRPr="00DE0F43">
        <w:rPr>
          <w:i/>
          <w:szCs w:val="24"/>
        </w:rPr>
        <w:t>Information Technology &amp; People</w:t>
      </w:r>
      <w:r w:rsidRPr="00DE0F43">
        <w:rPr>
          <w:szCs w:val="24"/>
        </w:rPr>
        <w:t>,</w:t>
      </w:r>
      <w:r w:rsidRPr="00DE0F43">
        <w:rPr>
          <w:i/>
          <w:szCs w:val="24"/>
        </w:rPr>
        <w:t xml:space="preserve"> 11</w:t>
      </w:r>
      <w:r w:rsidRPr="00DE0F43">
        <w:rPr>
          <w:szCs w:val="24"/>
        </w:rPr>
        <w:t xml:space="preserve">(4), 305-327. </w:t>
      </w:r>
      <w:r w:rsidRPr="001C56A3">
        <w:rPr>
          <w:szCs w:val="24"/>
        </w:rPr>
        <w:t>https://doi.org/10.1108/09593849810246129</w:t>
      </w:r>
      <w:r w:rsidRPr="00DE0F43">
        <w:rPr>
          <w:szCs w:val="24"/>
        </w:rPr>
        <w:t xml:space="preserve"> </w:t>
      </w:r>
    </w:p>
    <w:p w14:paraId="11D548F6" w14:textId="5641BCDD" w:rsidR="00AD5D3F" w:rsidRPr="00DE0F43" w:rsidRDefault="00AD5D3F" w:rsidP="00AD5D3F">
      <w:pPr>
        <w:pStyle w:val="EndNoteBibliography"/>
        <w:spacing w:after="240"/>
        <w:ind w:left="720" w:hanging="720"/>
        <w:rPr>
          <w:szCs w:val="24"/>
        </w:rPr>
      </w:pPr>
      <w:r w:rsidRPr="00DE0F43">
        <w:rPr>
          <w:szCs w:val="24"/>
        </w:rPr>
        <w:lastRenderedPageBreak/>
        <w:t xml:space="preserve">Ciriello, R. F., Richter, A., &amp; Schwabe, G. (2019). The paradoxical effects of digital artefacts on innovation practices </w:t>
      </w:r>
      <w:r w:rsidRPr="00DE0F43">
        <w:rPr>
          <w:i/>
          <w:szCs w:val="24"/>
        </w:rPr>
        <w:t>European Journal of Information Systems</w:t>
      </w:r>
      <w:r w:rsidRPr="00DE0F43">
        <w:rPr>
          <w:szCs w:val="24"/>
        </w:rPr>
        <w:t>,</w:t>
      </w:r>
      <w:r w:rsidRPr="00DE0F43">
        <w:rPr>
          <w:i/>
          <w:szCs w:val="24"/>
        </w:rPr>
        <w:t xml:space="preserve"> 28</w:t>
      </w:r>
      <w:r w:rsidRPr="00DE0F43">
        <w:rPr>
          <w:szCs w:val="24"/>
        </w:rPr>
        <w:t xml:space="preserve">(2), 149-172. </w:t>
      </w:r>
      <w:r w:rsidRPr="001C56A3">
        <w:rPr>
          <w:szCs w:val="24"/>
        </w:rPr>
        <w:t>https://doi.org/10.1080/0960085X.2018.1524418</w:t>
      </w:r>
      <w:r w:rsidRPr="00DE0F43">
        <w:rPr>
          <w:szCs w:val="24"/>
        </w:rPr>
        <w:t xml:space="preserve"> </w:t>
      </w:r>
    </w:p>
    <w:p w14:paraId="3E5CBBEA" w14:textId="32F744A6" w:rsidR="00AD5D3F" w:rsidRPr="00DE0F43" w:rsidRDefault="00AD5D3F" w:rsidP="00AD5D3F">
      <w:pPr>
        <w:pStyle w:val="EndNoteBibliography"/>
        <w:spacing w:after="240"/>
        <w:ind w:left="720" w:hanging="720"/>
        <w:rPr>
          <w:szCs w:val="24"/>
        </w:rPr>
      </w:pPr>
      <w:r w:rsidRPr="00DE0F43">
        <w:rPr>
          <w:szCs w:val="24"/>
        </w:rPr>
        <w:t xml:space="preserve">Counihan, A., Finnegan, P., &amp; Sammon, D. (2002). Towards a framework for evaluating investments in data warehousing </w:t>
      </w:r>
      <w:r w:rsidRPr="00DE0F43">
        <w:rPr>
          <w:i/>
          <w:szCs w:val="24"/>
        </w:rPr>
        <w:t>Information Systems Journal</w:t>
      </w:r>
      <w:r w:rsidRPr="00DE0F43">
        <w:rPr>
          <w:szCs w:val="24"/>
        </w:rPr>
        <w:t>,</w:t>
      </w:r>
      <w:r w:rsidRPr="00DE0F43">
        <w:rPr>
          <w:i/>
          <w:szCs w:val="24"/>
        </w:rPr>
        <w:t xml:space="preserve"> 12</w:t>
      </w:r>
      <w:r w:rsidRPr="00DE0F43">
        <w:rPr>
          <w:szCs w:val="24"/>
        </w:rPr>
        <w:t xml:space="preserve">(4), 321-338. </w:t>
      </w:r>
      <w:r w:rsidRPr="001C56A3">
        <w:rPr>
          <w:szCs w:val="24"/>
        </w:rPr>
        <w:t>https://doi.org/10.1046/j.1365-2575.2002.00134.x</w:t>
      </w:r>
      <w:r w:rsidRPr="00DE0F43">
        <w:rPr>
          <w:szCs w:val="24"/>
        </w:rPr>
        <w:t xml:space="preserve"> </w:t>
      </w:r>
    </w:p>
    <w:p w14:paraId="06A1E2D8" w14:textId="77777777" w:rsidR="00AD5D3F" w:rsidRPr="00DE0F43" w:rsidRDefault="00AD5D3F" w:rsidP="00AD5D3F">
      <w:pPr>
        <w:pStyle w:val="EndNoteBibliography"/>
        <w:spacing w:after="240"/>
        <w:ind w:left="720" w:hanging="720"/>
        <w:rPr>
          <w:szCs w:val="24"/>
        </w:rPr>
      </w:pPr>
      <w:r w:rsidRPr="00DE0F43">
        <w:rPr>
          <w:szCs w:val="24"/>
        </w:rPr>
        <w:t xml:space="preserve">Croasdell, D., McLeod, A., &amp; Simkin Mark, G. (2011). Why don't more women major in information systems? </w:t>
      </w:r>
      <w:r w:rsidRPr="00DE0F43">
        <w:rPr>
          <w:i/>
          <w:szCs w:val="24"/>
        </w:rPr>
        <w:t>Information Technology &amp; People</w:t>
      </w:r>
      <w:r w:rsidRPr="00DE0F43">
        <w:rPr>
          <w:szCs w:val="24"/>
        </w:rPr>
        <w:t>,</w:t>
      </w:r>
      <w:r w:rsidRPr="00DE0F43">
        <w:rPr>
          <w:i/>
          <w:szCs w:val="24"/>
        </w:rPr>
        <w:t xml:space="preserve"> 24</w:t>
      </w:r>
      <w:r w:rsidRPr="00DE0F43">
        <w:rPr>
          <w:szCs w:val="24"/>
        </w:rPr>
        <w:t xml:space="preserve">(2), 158-183. </w:t>
      </w:r>
      <w:r w:rsidRPr="001C56A3">
        <w:rPr>
          <w:szCs w:val="24"/>
        </w:rPr>
        <w:t>https://doi.org/10.1108/09593841111137340</w:t>
      </w:r>
      <w:r w:rsidRPr="00DE0F43">
        <w:rPr>
          <w:szCs w:val="24"/>
        </w:rPr>
        <w:t xml:space="preserve"> </w:t>
      </w:r>
    </w:p>
    <w:p w14:paraId="0B881BFD" w14:textId="71E13E3F" w:rsidR="00AD5D3F" w:rsidRPr="00DE0F43" w:rsidRDefault="00AD5D3F" w:rsidP="00AD5D3F">
      <w:pPr>
        <w:pStyle w:val="EndNoteBibliography"/>
        <w:spacing w:after="240"/>
        <w:ind w:left="720" w:hanging="720"/>
        <w:rPr>
          <w:szCs w:val="24"/>
        </w:rPr>
      </w:pPr>
      <w:r w:rsidRPr="00DE0F43">
        <w:rPr>
          <w:szCs w:val="24"/>
        </w:rPr>
        <w:t xml:space="preserve">Crossler, R. E., Andoh-Baidoo, F. K., &amp; Menard, P. (2018). Espoused cultural values as antecedents of individuals’ threat and coping appraisal toward protective information technologies: Study of U.S. and Ghana. </w:t>
      </w:r>
      <w:r w:rsidRPr="00DE0F43">
        <w:rPr>
          <w:i/>
          <w:szCs w:val="24"/>
        </w:rPr>
        <w:t>Information &amp; Management</w:t>
      </w:r>
      <w:r w:rsidRPr="00DE0F43">
        <w:rPr>
          <w:szCs w:val="24"/>
        </w:rPr>
        <w:t>,</w:t>
      </w:r>
      <w:r w:rsidRPr="00DE0F43">
        <w:rPr>
          <w:i/>
          <w:szCs w:val="24"/>
        </w:rPr>
        <w:t xml:space="preserve"> 56</w:t>
      </w:r>
      <w:r w:rsidRPr="00DE0F43">
        <w:rPr>
          <w:szCs w:val="24"/>
        </w:rPr>
        <w:t xml:space="preserve">(5), 754-766. </w:t>
      </w:r>
      <w:r w:rsidRPr="001C56A3">
        <w:rPr>
          <w:szCs w:val="24"/>
        </w:rPr>
        <w:t>https://doi.org/10.1016/j.im.2018.11.009</w:t>
      </w:r>
      <w:r w:rsidRPr="00DE0F43">
        <w:rPr>
          <w:szCs w:val="24"/>
        </w:rPr>
        <w:t xml:space="preserve"> </w:t>
      </w:r>
    </w:p>
    <w:p w14:paraId="7FA67021" w14:textId="77777777" w:rsidR="00AD5D3F" w:rsidRPr="00DE0F43" w:rsidRDefault="00AD5D3F" w:rsidP="00AD5D3F">
      <w:pPr>
        <w:pStyle w:val="EndNoteBibliography"/>
        <w:spacing w:after="240"/>
        <w:ind w:left="720" w:hanging="720"/>
        <w:rPr>
          <w:szCs w:val="24"/>
        </w:rPr>
      </w:pPr>
      <w:r w:rsidRPr="00DE0F43">
        <w:rPr>
          <w:szCs w:val="24"/>
        </w:rPr>
        <w:t xml:space="preserve">Davison, R. M. (2019). The art of vivacious variance. </w:t>
      </w:r>
      <w:r w:rsidRPr="00DE0F43">
        <w:rPr>
          <w:i/>
          <w:szCs w:val="24"/>
        </w:rPr>
        <w:t>Information Systems Journal</w:t>
      </w:r>
      <w:r w:rsidRPr="00DE0F43">
        <w:rPr>
          <w:szCs w:val="24"/>
        </w:rPr>
        <w:t>,</w:t>
      </w:r>
      <w:r w:rsidRPr="00DE0F43">
        <w:rPr>
          <w:i/>
          <w:szCs w:val="24"/>
        </w:rPr>
        <w:t xml:space="preserve"> 29</w:t>
      </w:r>
      <w:r w:rsidRPr="00DE0F43">
        <w:rPr>
          <w:szCs w:val="24"/>
        </w:rPr>
        <w:t xml:space="preserve">(1), 1-5. </w:t>
      </w:r>
    </w:p>
    <w:p w14:paraId="2F289D2C" w14:textId="53117064" w:rsidR="00AD5D3F" w:rsidRPr="00DE0F43" w:rsidRDefault="00AD5D3F" w:rsidP="00AD5D3F">
      <w:pPr>
        <w:pStyle w:val="EndNoteBibliography"/>
        <w:spacing w:after="240"/>
        <w:ind w:left="720" w:hanging="720"/>
        <w:rPr>
          <w:szCs w:val="24"/>
        </w:rPr>
      </w:pPr>
      <w:r w:rsidRPr="00DE0F43">
        <w:rPr>
          <w:szCs w:val="24"/>
        </w:rPr>
        <w:t xml:space="preserve">de Kervenoael, R., Schwob, A., Palmer, M., &amp; Simmons, G. (2017). Smartphone chronic gaming consumption and positive coping practice </w:t>
      </w:r>
      <w:r w:rsidRPr="00DE0F43">
        <w:rPr>
          <w:i/>
          <w:szCs w:val="24"/>
        </w:rPr>
        <w:t>Information Technology &amp; People</w:t>
      </w:r>
      <w:r w:rsidRPr="00DE0F43">
        <w:rPr>
          <w:szCs w:val="24"/>
        </w:rPr>
        <w:t>,</w:t>
      </w:r>
      <w:r w:rsidRPr="00DE0F43">
        <w:rPr>
          <w:i/>
          <w:szCs w:val="24"/>
        </w:rPr>
        <w:t xml:space="preserve"> 30</w:t>
      </w:r>
      <w:r w:rsidRPr="00DE0F43">
        <w:rPr>
          <w:szCs w:val="24"/>
        </w:rPr>
        <w:t xml:space="preserve">(2), 503-519. </w:t>
      </w:r>
      <w:r w:rsidRPr="001C56A3">
        <w:rPr>
          <w:szCs w:val="24"/>
        </w:rPr>
        <w:t>https://doi.org/10.1108/ITP-01-2016-0003</w:t>
      </w:r>
      <w:r w:rsidRPr="00DE0F43">
        <w:rPr>
          <w:szCs w:val="24"/>
        </w:rPr>
        <w:t xml:space="preserve"> </w:t>
      </w:r>
    </w:p>
    <w:p w14:paraId="44226C23" w14:textId="77777777" w:rsidR="00AD5D3F" w:rsidRPr="00DE0F43" w:rsidRDefault="00AD5D3F" w:rsidP="00AD5D3F">
      <w:pPr>
        <w:pStyle w:val="EndNoteBibliography"/>
        <w:spacing w:after="240"/>
        <w:ind w:left="720" w:hanging="720"/>
        <w:rPr>
          <w:szCs w:val="24"/>
        </w:rPr>
      </w:pPr>
      <w:r w:rsidRPr="00DE0F43">
        <w:rPr>
          <w:szCs w:val="24"/>
        </w:rPr>
        <w:t xml:space="preserve">Dubé, L. (1998). Teams in packaged software development : The Software Corp. experience. </w:t>
      </w:r>
      <w:r w:rsidRPr="00DE0F43">
        <w:rPr>
          <w:i/>
          <w:szCs w:val="24"/>
        </w:rPr>
        <w:t>Information Technology &amp; People</w:t>
      </w:r>
      <w:r w:rsidRPr="00DE0F43">
        <w:rPr>
          <w:szCs w:val="24"/>
        </w:rPr>
        <w:t>,</w:t>
      </w:r>
      <w:r w:rsidRPr="00DE0F43">
        <w:rPr>
          <w:i/>
          <w:szCs w:val="24"/>
        </w:rPr>
        <w:t xml:space="preserve"> 11</w:t>
      </w:r>
      <w:r w:rsidRPr="00DE0F43">
        <w:rPr>
          <w:szCs w:val="24"/>
        </w:rPr>
        <w:t xml:space="preserve">(1), 36-61. </w:t>
      </w:r>
      <w:r w:rsidRPr="001C56A3">
        <w:rPr>
          <w:szCs w:val="24"/>
        </w:rPr>
        <w:t>https://doi.org/10.1108/09593849810204530</w:t>
      </w:r>
      <w:r w:rsidRPr="00DE0F43">
        <w:rPr>
          <w:szCs w:val="24"/>
        </w:rPr>
        <w:t xml:space="preserve"> </w:t>
      </w:r>
    </w:p>
    <w:p w14:paraId="779B5BAB" w14:textId="23F8CEAF" w:rsidR="00AD5D3F" w:rsidRPr="00DE0F43" w:rsidRDefault="00AD5D3F" w:rsidP="00AD5D3F">
      <w:pPr>
        <w:pStyle w:val="EndNoteBibliography"/>
        <w:spacing w:after="240"/>
        <w:ind w:left="720" w:hanging="720"/>
        <w:rPr>
          <w:szCs w:val="24"/>
        </w:rPr>
      </w:pPr>
      <w:r w:rsidRPr="00DE0F43">
        <w:rPr>
          <w:szCs w:val="24"/>
        </w:rPr>
        <w:t xml:space="preserve">Duncan, R. J. (1995). There are some cracks in the cornerstone of information security. </w:t>
      </w:r>
      <w:r w:rsidRPr="00DE0F43">
        <w:rPr>
          <w:i/>
          <w:szCs w:val="24"/>
        </w:rPr>
        <w:t>Computers &amp; Security</w:t>
      </w:r>
      <w:r w:rsidRPr="00DE0F43">
        <w:rPr>
          <w:szCs w:val="24"/>
        </w:rPr>
        <w:t>,</w:t>
      </w:r>
      <w:r w:rsidRPr="00DE0F43">
        <w:rPr>
          <w:i/>
          <w:szCs w:val="24"/>
        </w:rPr>
        <w:t xml:space="preserve"> 14</w:t>
      </w:r>
      <w:r w:rsidRPr="00DE0F43">
        <w:rPr>
          <w:szCs w:val="24"/>
        </w:rPr>
        <w:t>(8), 675</w:t>
      </w:r>
      <w:r w:rsidR="008273A3">
        <w:rPr>
          <w:szCs w:val="24"/>
        </w:rPr>
        <w:t>-680</w:t>
      </w:r>
      <w:r w:rsidRPr="00DE0F43">
        <w:rPr>
          <w:szCs w:val="24"/>
        </w:rPr>
        <w:t xml:space="preserve">. </w:t>
      </w:r>
    </w:p>
    <w:p w14:paraId="1E18B0F9" w14:textId="5F118F3B" w:rsidR="00AD5D3F" w:rsidRPr="00DE0F43" w:rsidRDefault="00AD5D3F" w:rsidP="00AD5D3F">
      <w:pPr>
        <w:pStyle w:val="EndNoteBibliography"/>
        <w:spacing w:after="240"/>
        <w:ind w:left="720" w:hanging="720"/>
        <w:rPr>
          <w:szCs w:val="24"/>
        </w:rPr>
      </w:pPr>
      <w:r w:rsidRPr="00DE0F43">
        <w:rPr>
          <w:szCs w:val="24"/>
        </w:rPr>
        <w:t xml:space="preserve">Elitzur, R., &amp; Wensley, A. (1997). Game theory as a tool for understanding information services outsourcing </w:t>
      </w:r>
      <w:r w:rsidRPr="00DE0F43">
        <w:rPr>
          <w:i/>
          <w:szCs w:val="24"/>
        </w:rPr>
        <w:t>Journal of Information Technology 12</w:t>
      </w:r>
      <w:r w:rsidRPr="00DE0F43">
        <w:rPr>
          <w:szCs w:val="24"/>
        </w:rPr>
        <w:t xml:space="preserve">(1), 45-60. </w:t>
      </w:r>
      <w:r w:rsidRPr="001C56A3">
        <w:rPr>
          <w:szCs w:val="24"/>
        </w:rPr>
        <w:t>https://doi.org/10.1177/026839629701200104</w:t>
      </w:r>
      <w:r w:rsidRPr="00DE0F43">
        <w:rPr>
          <w:szCs w:val="24"/>
        </w:rPr>
        <w:t xml:space="preserve"> </w:t>
      </w:r>
    </w:p>
    <w:p w14:paraId="344A120E" w14:textId="3FB0C1A5" w:rsidR="00AD5D3F" w:rsidRPr="00DE0F43" w:rsidRDefault="00AD5D3F" w:rsidP="00AD5D3F">
      <w:pPr>
        <w:pStyle w:val="EndNoteBibliography"/>
        <w:spacing w:after="240"/>
        <w:ind w:left="720" w:hanging="720"/>
        <w:rPr>
          <w:szCs w:val="24"/>
        </w:rPr>
      </w:pPr>
      <w:r w:rsidRPr="00DE0F43">
        <w:rPr>
          <w:szCs w:val="24"/>
        </w:rPr>
        <w:t xml:space="preserve">Éthier, J., Hadaya, P., Talbot, J., &amp; Cadieux, J. (2008). Interface design and emotions experienced on B2C Web sites: Empirical testing of a research model </w:t>
      </w:r>
      <w:r w:rsidRPr="00DE0F43">
        <w:rPr>
          <w:i/>
          <w:szCs w:val="24"/>
        </w:rPr>
        <w:t>Computers in Human Behavior</w:t>
      </w:r>
      <w:r w:rsidRPr="00DE0F43">
        <w:rPr>
          <w:szCs w:val="24"/>
        </w:rPr>
        <w:t>,</w:t>
      </w:r>
      <w:r w:rsidRPr="00DE0F43">
        <w:rPr>
          <w:i/>
          <w:szCs w:val="24"/>
        </w:rPr>
        <w:t xml:space="preserve"> 24</w:t>
      </w:r>
      <w:r w:rsidRPr="00DE0F43">
        <w:rPr>
          <w:szCs w:val="24"/>
        </w:rPr>
        <w:t xml:space="preserve">(6), 2771-2791. </w:t>
      </w:r>
      <w:r w:rsidRPr="001C56A3">
        <w:rPr>
          <w:szCs w:val="24"/>
        </w:rPr>
        <w:t>https://doi.org/10.1016/j.chb.2008.04.004</w:t>
      </w:r>
      <w:r w:rsidRPr="00DE0F43">
        <w:rPr>
          <w:szCs w:val="24"/>
        </w:rPr>
        <w:t xml:space="preserve"> </w:t>
      </w:r>
    </w:p>
    <w:p w14:paraId="18A37583" w14:textId="7B01B067" w:rsidR="00AD5D3F" w:rsidRPr="00DE0F43" w:rsidRDefault="00AD5D3F" w:rsidP="00AD5D3F">
      <w:pPr>
        <w:pStyle w:val="EndNoteBibliography"/>
        <w:spacing w:after="240"/>
        <w:ind w:left="720" w:hanging="720"/>
        <w:rPr>
          <w:szCs w:val="24"/>
        </w:rPr>
      </w:pPr>
      <w:r w:rsidRPr="00DE0F43">
        <w:rPr>
          <w:szCs w:val="24"/>
        </w:rPr>
        <w:t xml:space="preserve">Ewusi-Mensah, K., &amp; Przasnyski, Z. H. (1995). Learning from abandoned information systems development projects </w:t>
      </w:r>
      <w:r w:rsidRPr="00DE0F43">
        <w:rPr>
          <w:i/>
          <w:szCs w:val="24"/>
        </w:rPr>
        <w:t>Journal of Information Technology</w:t>
      </w:r>
      <w:r w:rsidRPr="00DE0F43">
        <w:rPr>
          <w:szCs w:val="24"/>
        </w:rPr>
        <w:t>,</w:t>
      </w:r>
      <w:r w:rsidRPr="00DE0F43">
        <w:rPr>
          <w:i/>
          <w:szCs w:val="24"/>
        </w:rPr>
        <w:t xml:space="preserve"> 10</w:t>
      </w:r>
      <w:r w:rsidRPr="00DE0F43">
        <w:rPr>
          <w:szCs w:val="24"/>
        </w:rPr>
        <w:t xml:space="preserve">(1), 3-14. </w:t>
      </w:r>
      <w:r w:rsidRPr="001C56A3">
        <w:rPr>
          <w:szCs w:val="24"/>
        </w:rPr>
        <w:t>https://doi.org/10.1057/jit.1995.2</w:t>
      </w:r>
      <w:r w:rsidRPr="00DE0F43">
        <w:rPr>
          <w:szCs w:val="24"/>
        </w:rPr>
        <w:t xml:space="preserve"> </w:t>
      </w:r>
    </w:p>
    <w:p w14:paraId="51DFCE92" w14:textId="0AD95AFA" w:rsidR="00AD5D3F" w:rsidRPr="00DE0F43" w:rsidRDefault="00AD5D3F" w:rsidP="00AD5D3F">
      <w:pPr>
        <w:pStyle w:val="EndNoteBibliography"/>
        <w:spacing w:after="240"/>
        <w:ind w:left="720" w:hanging="720"/>
        <w:rPr>
          <w:szCs w:val="24"/>
        </w:rPr>
      </w:pPr>
      <w:r w:rsidRPr="00DE0F43">
        <w:rPr>
          <w:szCs w:val="24"/>
        </w:rPr>
        <w:t xml:space="preserve">Fang, X., Benamati, J., &amp; Lederer, A. L. (2011). Coping with rapid information technology change in different national cultures </w:t>
      </w:r>
      <w:r w:rsidRPr="00DE0F43">
        <w:rPr>
          <w:i/>
          <w:szCs w:val="24"/>
        </w:rPr>
        <w:t>European Journal of Information Systems</w:t>
      </w:r>
      <w:r w:rsidRPr="00DE0F43">
        <w:rPr>
          <w:szCs w:val="24"/>
        </w:rPr>
        <w:t>,</w:t>
      </w:r>
      <w:r w:rsidRPr="00DE0F43">
        <w:rPr>
          <w:i/>
          <w:szCs w:val="24"/>
        </w:rPr>
        <w:t xml:space="preserve"> 20</w:t>
      </w:r>
      <w:r w:rsidRPr="00DE0F43">
        <w:rPr>
          <w:szCs w:val="24"/>
        </w:rPr>
        <w:t xml:space="preserve">(5), 560-573. </w:t>
      </w:r>
      <w:r w:rsidRPr="001C56A3">
        <w:rPr>
          <w:szCs w:val="24"/>
        </w:rPr>
        <w:t>https://doi.org/10.1057/ejis.2011.20</w:t>
      </w:r>
      <w:r w:rsidRPr="00DE0F43">
        <w:rPr>
          <w:szCs w:val="24"/>
        </w:rPr>
        <w:t xml:space="preserve"> </w:t>
      </w:r>
    </w:p>
    <w:p w14:paraId="1204A8C9" w14:textId="4F83F087" w:rsidR="00AD5D3F" w:rsidRPr="00DE0F43" w:rsidRDefault="00AD5D3F" w:rsidP="00AD5D3F">
      <w:pPr>
        <w:pStyle w:val="EndNoteBibliography"/>
        <w:spacing w:after="240"/>
        <w:ind w:left="720" w:hanging="720"/>
        <w:rPr>
          <w:szCs w:val="24"/>
        </w:rPr>
      </w:pPr>
      <w:r w:rsidRPr="00DE0F43">
        <w:rPr>
          <w:szCs w:val="24"/>
        </w:rPr>
        <w:t xml:space="preserve">Farbey, B., Land, F., &amp; Targett, D. (1992). Evaluating investments in IT </w:t>
      </w:r>
      <w:r w:rsidRPr="00DE0F43">
        <w:rPr>
          <w:i/>
          <w:szCs w:val="24"/>
        </w:rPr>
        <w:t>Journal of Information Technology</w:t>
      </w:r>
      <w:r w:rsidRPr="00DE0F43">
        <w:rPr>
          <w:szCs w:val="24"/>
        </w:rPr>
        <w:t>,</w:t>
      </w:r>
      <w:r w:rsidRPr="00DE0F43">
        <w:rPr>
          <w:i/>
          <w:szCs w:val="24"/>
        </w:rPr>
        <w:t xml:space="preserve"> 7</w:t>
      </w:r>
      <w:r w:rsidRPr="00DE0F43">
        <w:rPr>
          <w:szCs w:val="24"/>
        </w:rPr>
        <w:t xml:space="preserve">(2), 109-122. </w:t>
      </w:r>
      <w:r w:rsidRPr="001C56A3">
        <w:rPr>
          <w:szCs w:val="24"/>
        </w:rPr>
        <w:t>https://doi.org/10.1057/jit.1992.16</w:t>
      </w:r>
      <w:r w:rsidRPr="00DE0F43">
        <w:rPr>
          <w:szCs w:val="24"/>
        </w:rPr>
        <w:t xml:space="preserve"> </w:t>
      </w:r>
    </w:p>
    <w:p w14:paraId="57CBD027" w14:textId="13AF3E5E" w:rsidR="00AD5D3F" w:rsidRPr="00DE0F43" w:rsidRDefault="00AD5D3F" w:rsidP="00AD5D3F">
      <w:pPr>
        <w:pStyle w:val="EndNoteBibliography"/>
        <w:spacing w:after="240"/>
        <w:ind w:left="720" w:hanging="720"/>
        <w:rPr>
          <w:szCs w:val="24"/>
        </w:rPr>
      </w:pPr>
      <w:r w:rsidRPr="00DE0F43">
        <w:rPr>
          <w:szCs w:val="24"/>
        </w:rPr>
        <w:lastRenderedPageBreak/>
        <w:t xml:space="preserve">Ferretti, V., &amp; Montibeller, G. (2016). Key challenges and meta-choices in designing and applying multi-criteria spatial decision support systems </w:t>
      </w:r>
      <w:r w:rsidRPr="00DE0F43">
        <w:rPr>
          <w:i/>
          <w:szCs w:val="24"/>
        </w:rPr>
        <w:t>Decision Support Systems</w:t>
      </w:r>
      <w:r w:rsidRPr="00DE0F43">
        <w:rPr>
          <w:szCs w:val="24"/>
        </w:rPr>
        <w:t>,</w:t>
      </w:r>
      <w:r w:rsidRPr="00DE0F43">
        <w:rPr>
          <w:i/>
          <w:szCs w:val="24"/>
        </w:rPr>
        <w:t xml:space="preserve"> 84</w:t>
      </w:r>
      <w:r w:rsidRPr="00DE0F43">
        <w:rPr>
          <w:szCs w:val="24"/>
        </w:rPr>
        <w:t xml:space="preserve">, 41-52. </w:t>
      </w:r>
      <w:r w:rsidRPr="001C56A3">
        <w:rPr>
          <w:szCs w:val="24"/>
        </w:rPr>
        <w:t>https://doi.org/10.1016/j.dss.2016.01.005</w:t>
      </w:r>
      <w:r w:rsidRPr="00DE0F43">
        <w:rPr>
          <w:szCs w:val="24"/>
        </w:rPr>
        <w:t xml:space="preserve"> </w:t>
      </w:r>
    </w:p>
    <w:p w14:paraId="40FD5DA8" w14:textId="44F84F06" w:rsidR="00AD5D3F" w:rsidRPr="00DE0F43" w:rsidRDefault="00AD5D3F" w:rsidP="00AD5D3F">
      <w:pPr>
        <w:pStyle w:val="EndNoteBibliography"/>
        <w:spacing w:after="240"/>
        <w:ind w:left="720" w:hanging="720"/>
        <w:rPr>
          <w:szCs w:val="24"/>
        </w:rPr>
      </w:pPr>
      <w:r w:rsidRPr="00DE0F43">
        <w:rPr>
          <w:szCs w:val="24"/>
        </w:rPr>
        <w:t xml:space="preserve">Field, J. M., Ritzman, L. P., Safizadeh, M. H., &amp; Downing, C. E. (2006). Uncertainty Reduction Approaches, Uncertainty Coping Approaches, and Process Performance in Financial Services </w:t>
      </w:r>
      <w:r w:rsidRPr="00DE0F43">
        <w:rPr>
          <w:i/>
          <w:szCs w:val="24"/>
        </w:rPr>
        <w:t>Decision Sciences</w:t>
      </w:r>
      <w:r w:rsidRPr="00DE0F43">
        <w:rPr>
          <w:szCs w:val="24"/>
        </w:rPr>
        <w:t>,</w:t>
      </w:r>
      <w:r w:rsidRPr="00DE0F43">
        <w:rPr>
          <w:i/>
          <w:szCs w:val="24"/>
        </w:rPr>
        <w:t xml:space="preserve"> 37</w:t>
      </w:r>
      <w:r w:rsidRPr="00DE0F43">
        <w:rPr>
          <w:szCs w:val="24"/>
        </w:rPr>
        <w:t xml:space="preserve">(2), 149-175. </w:t>
      </w:r>
      <w:r w:rsidRPr="001C56A3">
        <w:rPr>
          <w:szCs w:val="24"/>
        </w:rPr>
        <w:t>https://doi.org/10.1111/j.1540-5915.2006.00120.x</w:t>
      </w:r>
      <w:r w:rsidRPr="00DE0F43">
        <w:rPr>
          <w:szCs w:val="24"/>
        </w:rPr>
        <w:t xml:space="preserve"> </w:t>
      </w:r>
    </w:p>
    <w:p w14:paraId="52FEC8AD" w14:textId="04FC7FD6" w:rsidR="00AD5D3F" w:rsidRPr="00DE0F43" w:rsidRDefault="00AD5D3F" w:rsidP="00AD5D3F">
      <w:pPr>
        <w:pStyle w:val="EndNoteBibliography"/>
        <w:spacing w:after="240"/>
        <w:ind w:left="720" w:hanging="720"/>
        <w:rPr>
          <w:szCs w:val="24"/>
        </w:rPr>
      </w:pPr>
      <w:r w:rsidRPr="00DE0F43">
        <w:rPr>
          <w:szCs w:val="24"/>
        </w:rPr>
        <w:t xml:space="preserve">Fitzgerald, B., &amp; Murphy, C. (1994). Introducing executive information systems into organizations: separating fact from fallacy </w:t>
      </w:r>
      <w:r w:rsidRPr="00DE0F43">
        <w:rPr>
          <w:i/>
          <w:szCs w:val="24"/>
        </w:rPr>
        <w:t>Journal of Information Technology</w:t>
      </w:r>
      <w:r w:rsidRPr="00DE0F43">
        <w:rPr>
          <w:szCs w:val="24"/>
        </w:rPr>
        <w:t>,</w:t>
      </w:r>
      <w:r w:rsidRPr="00DE0F43">
        <w:rPr>
          <w:i/>
          <w:szCs w:val="24"/>
        </w:rPr>
        <w:t xml:space="preserve"> 9</w:t>
      </w:r>
      <w:r w:rsidRPr="00DE0F43">
        <w:rPr>
          <w:szCs w:val="24"/>
        </w:rPr>
        <w:t xml:space="preserve">(4), 288-296. </w:t>
      </w:r>
      <w:r w:rsidRPr="001C56A3">
        <w:rPr>
          <w:szCs w:val="24"/>
        </w:rPr>
        <w:t>https://doi.org/10.1057/jit.1994.31</w:t>
      </w:r>
      <w:r w:rsidRPr="00DE0F43">
        <w:rPr>
          <w:szCs w:val="24"/>
        </w:rPr>
        <w:t xml:space="preserve"> </w:t>
      </w:r>
    </w:p>
    <w:p w14:paraId="13657C1A" w14:textId="65C0E25F" w:rsidR="00AD5D3F" w:rsidRPr="00DE0F43" w:rsidRDefault="00AD5D3F" w:rsidP="00AD5D3F">
      <w:pPr>
        <w:pStyle w:val="EndNoteBibliography"/>
        <w:spacing w:after="240"/>
        <w:ind w:left="720" w:hanging="720"/>
        <w:rPr>
          <w:szCs w:val="24"/>
        </w:rPr>
      </w:pPr>
      <w:r w:rsidRPr="00DE0F43">
        <w:rPr>
          <w:szCs w:val="24"/>
        </w:rPr>
        <w:t xml:space="preserve">Flynn, B. B., &amp; Flynn, E. J. (1999). Information-Processing Alternatives for Coping with Manufacturing Environment Complexity </w:t>
      </w:r>
      <w:r w:rsidRPr="00DE0F43">
        <w:rPr>
          <w:i/>
          <w:szCs w:val="24"/>
        </w:rPr>
        <w:t>Decision Sciences</w:t>
      </w:r>
      <w:r w:rsidRPr="00DE0F43">
        <w:rPr>
          <w:szCs w:val="24"/>
        </w:rPr>
        <w:t>,</w:t>
      </w:r>
      <w:r w:rsidRPr="00DE0F43">
        <w:rPr>
          <w:i/>
          <w:szCs w:val="24"/>
        </w:rPr>
        <w:t xml:space="preserve"> 30</w:t>
      </w:r>
      <w:r w:rsidRPr="00DE0F43">
        <w:rPr>
          <w:szCs w:val="24"/>
        </w:rPr>
        <w:t xml:space="preserve">(4), 1021-1052. </w:t>
      </w:r>
      <w:r w:rsidRPr="001C56A3">
        <w:rPr>
          <w:szCs w:val="24"/>
        </w:rPr>
        <w:t>https://doi.org/10.1111/j.1540-5915.1999.tb00917.x</w:t>
      </w:r>
      <w:r w:rsidRPr="00DE0F43">
        <w:rPr>
          <w:szCs w:val="24"/>
        </w:rPr>
        <w:t xml:space="preserve"> </w:t>
      </w:r>
    </w:p>
    <w:p w14:paraId="3756B076" w14:textId="33B9481B" w:rsidR="00AD5D3F" w:rsidRPr="00DE0F43" w:rsidRDefault="00AD5D3F" w:rsidP="00AD5D3F">
      <w:pPr>
        <w:pStyle w:val="EndNoteBibliography"/>
        <w:spacing w:after="240"/>
        <w:ind w:left="720" w:hanging="720"/>
        <w:rPr>
          <w:szCs w:val="24"/>
        </w:rPr>
      </w:pPr>
      <w:r w:rsidRPr="00DE0F43">
        <w:rPr>
          <w:szCs w:val="24"/>
        </w:rPr>
        <w:t xml:space="preserve">Foster Jr, S. T., &amp; Adam Jr, E. E. (1996). Examining the Impact of Speed of Quality Improvement on Quality-Related Costs </w:t>
      </w:r>
      <w:r w:rsidRPr="00DE0F43">
        <w:rPr>
          <w:i/>
          <w:szCs w:val="24"/>
        </w:rPr>
        <w:t>Decision Sciences</w:t>
      </w:r>
      <w:r w:rsidRPr="00DE0F43">
        <w:rPr>
          <w:szCs w:val="24"/>
        </w:rPr>
        <w:t>,</w:t>
      </w:r>
      <w:r w:rsidRPr="00DE0F43">
        <w:rPr>
          <w:i/>
          <w:szCs w:val="24"/>
        </w:rPr>
        <w:t xml:space="preserve"> 27</w:t>
      </w:r>
      <w:r w:rsidRPr="00DE0F43">
        <w:rPr>
          <w:szCs w:val="24"/>
        </w:rPr>
        <w:t xml:space="preserve">(4), 623-646. </w:t>
      </w:r>
      <w:r w:rsidRPr="001C56A3">
        <w:rPr>
          <w:szCs w:val="24"/>
        </w:rPr>
        <w:t>https://doi.org/10.1111/j.1540-5915.1996.tb01829.x</w:t>
      </w:r>
      <w:r w:rsidRPr="00DE0F43">
        <w:rPr>
          <w:szCs w:val="24"/>
        </w:rPr>
        <w:t xml:space="preserve"> </w:t>
      </w:r>
    </w:p>
    <w:p w14:paraId="13BC6F7E" w14:textId="660FF55E" w:rsidR="00AD5D3F" w:rsidRPr="00DE0F43" w:rsidRDefault="00AD5D3F" w:rsidP="00AD5D3F">
      <w:pPr>
        <w:pStyle w:val="EndNoteBibliography"/>
        <w:spacing w:after="240"/>
        <w:ind w:left="720" w:hanging="720"/>
        <w:rPr>
          <w:szCs w:val="24"/>
        </w:rPr>
      </w:pPr>
      <w:r w:rsidRPr="00DE0F43">
        <w:rPr>
          <w:szCs w:val="24"/>
        </w:rPr>
        <w:t xml:space="preserve">Gentina, E., &amp; Chen, R. (2019). Digital natives' coping with loneliness: Facebook or face-to-face? </w:t>
      </w:r>
      <w:r w:rsidRPr="00DE0F43">
        <w:rPr>
          <w:i/>
          <w:szCs w:val="24"/>
        </w:rPr>
        <w:t>Information &amp; Management</w:t>
      </w:r>
      <w:r w:rsidRPr="00DE0F43">
        <w:rPr>
          <w:szCs w:val="24"/>
        </w:rPr>
        <w:t>,</w:t>
      </w:r>
      <w:r w:rsidRPr="00DE0F43">
        <w:rPr>
          <w:i/>
          <w:szCs w:val="24"/>
        </w:rPr>
        <w:t xml:space="preserve"> 56</w:t>
      </w:r>
      <w:r w:rsidRPr="00DE0F43">
        <w:rPr>
          <w:szCs w:val="24"/>
        </w:rPr>
        <w:t xml:space="preserve">(6), 103138. </w:t>
      </w:r>
      <w:r w:rsidRPr="001C56A3">
        <w:rPr>
          <w:szCs w:val="24"/>
        </w:rPr>
        <w:t>https://doi.org/10.1016/j.im.2018.12.006</w:t>
      </w:r>
      <w:r w:rsidRPr="00DE0F43">
        <w:rPr>
          <w:szCs w:val="24"/>
        </w:rPr>
        <w:t xml:space="preserve"> </w:t>
      </w:r>
    </w:p>
    <w:p w14:paraId="3F0DF955" w14:textId="77777777" w:rsidR="00AD5D3F" w:rsidRPr="00DE0F43" w:rsidRDefault="00AD5D3F" w:rsidP="00AD5D3F">
      <w:pPr>
        <w:pStyle w:val="EndNoteBibliography"/>
        <w:spacing w:after="240"/>
        <w:ind w:left="720" w:hanging="720"/>
        <w:rPr>
          <w:szCs w:val="24"/>
        </w:rPr>
      </w:pPr>
      <w:r w:rsidRPr="00DE0F43">
        <w:rPr>
          <w:szCs w:val="24"/>
        </w:rPr>
        <w:t xml:space="preserve">Gerber, P., Volkamer, M., &amp; Renaud, K. (2017). The simpler, the better? Presenting the COPING Android permission-granting interface for better privacy-related decisions. </w:t>
      </w:r>
      <w:r w:rsidRPr="00DE0F43">
        <w:rPr>
          <w:i/>
          <w:szCs w:val="24"/>
        </w:rPr>
        <w:t>Journal of Information Security and Applications</w:t>
      </w:r>
      <w:r w:rsidRPr="00DE0F43">
        <w:rPr>
          <w:szCs w:val="24"/>
        </w:rPr>
        <w:t>,</w:t>
      </w:r>
      <w:r w:rsidRPr="00DE0F43">
        <w:rPr>
          <w:i/>
          <w:szCs w:val="24"/>
        </w:rPr>
        <w:t xml:space="preserve"> 34</w:t>
      </w:r>
      <w:r w:rsidRPr="00DE0F43">
        <w:rPr>
          <w:szCs w:val="24"/>
        </w:rPr>
        <w:t xml:space="preserve">, 8-26. </w:t>
      </w:r>
    </w:p>
    <w:p w14:paraId="16231370" w14:textId="7B42C706" w:rsidR="00AD5D3F" w:rsidRPr="00DE0F43" w:rsidRDefault="00AD5D3F" w:rsidP="00AD5D3F">
      <w:pPr>
        <w:pStyle w:val="EndNoteBibliography"/>
        <w:spacing w:after="240"/>
        <w:ind w:left="720" w:hanging="720"/>
        <w:rPr>
          <w:szCs w:val="24"/>
        </w:rPr>
      </w:pPr>
      <w:r w:rsidRPr="00DE0F43">
        <w:rPr>
          <w:szCs w:val="24"/>
        </w:rPr>
        <w:t xml:space="preserve">Ghose, A., Kwon, H. E., Lee, D., &amp; Oh, W. (2019). Seizing the Commuting Moment: Contextual Targeting Based on Mobile Transportation Apps. </w:t>
      </w:r>
      <w:r w:rsidRPr="00DE0F43">
        <w:rPr>
          <w:i/>
          <w:szCs w:val="24"/>
        </w:rPr>
        <w:t>Information Systems Research</w:t>
      </w:r>
      <w:r w:rsidRPr="00DE0F43">
        <w:rPr>
          <w:szCs w:val="24"/>
        </w:rPr>
        <w:t>,</w:t>
      </w:r>
      <w:r w:rsidRPr="00DE0F43">
        <w:rPr>
          <w:i/>
          <w:szCs w:val="24"/>
        </w:rPr>
        <w:t xml:space="preserve"> 30</w:t>
      </w:r>
      <w:r w:rsidRPr="00DE0F43">
        <w:rPr>
          <w:szCs w:val="24"/>
        </w:rPr>
        <w:t xml:space="preserve">(1), 154-174. </w:t>
      </w:r>
      <w:r w:rsidRPr="001C56A3">
        <w:rPr>
          <w:szCs w:val="24"/>
        </w:rPr>
        <w:t>https://doi.org/10.1287/isre.2018.0792</w:t>
      </w:r>
      <w:r w:rsidRPr="00DE0F43">
        <w:rPr>
          <w:szCs w:val="24"/>
        </w:rPr>
        <w:t xml:space="preserve"> </w:t>
      </w:r>
    </w:p>
    <w:p w14:paraId="5AAD7632" w14:textId="77777777" w:rsidR="00AD5D3F" w:rsidRPr="00DE0F43" w:rsidRDefault="00AD5D3F" w:rsidP="00AD5D3F">
      <w:pPr>
        <w:pStyle w:val="EndNoteBibliography"/>
        <w:spacing w:after="240"/>
        <w:ind w:left="720" w:hanging="720"/>
        <w:rPr>
          <w:szCs w:val="24"/>
        </w:rPr>
      </w:pPr>
      <w:r w:rsidRPr="00DE0F43">
        <w:rPr>
          <w:szCs w:val="24"/>
        </w:rPr>
        <w:t xml:space="preserve">González, J. F., Rodríguez, M. C., Nistal, M. L., &amp; Rifón, L. A. (2009). Reverse OAuth: A solution to achieve delegated authorizations in single sign-on e-learning systems. </w:t>
      </w:r>
      <w:r w:rsidRPr="00DE0F43">
        <w:rPr>
          <w:i/>
          <w:szCs w:val="24"/>
        </w:rPr>
        <w:t>Computers &amp; security</w:t>
      </w:r>
      <w:r w:rsidRPr="00DE0F43">
        <w:rPr>
          <w:szCs w:val="24"/>
        </w:rPr>
        <w:t>,</w:t>
      </w:r>
      <w:r w:rsidRPr="00DE0F43">
        <w:rPr>
          <w:i/>
          <w:szCs w:val="24"/>
        </w:rPr>
        <w:t xml:space="preserve"> 28</w:t>
      </w:r>
      <w:r w:rsidRPr="00DE0F43">
        <w:rPr>
          <w:szCs w:val="24"/>
        </w:rPr>
        <w:t xml:space="preserve">(8), 843-856. </w:t>
      </w:r>
    </w:p>
    <w:p w14:paraId="4B9C3315" w14:textId="4BDA1FC6" w:rsidR="00AD5D3F" w:rsidRPr="00DE0F43" w:rsidRDefault="00AD5D3F" w:rsidP="00AD5D3F">
      <w:pPr>
        <w:pStyle w:val="EndNoteBibliography"/>
        <w:spacing w:after="240"/>
        <w:ind w:left="720" w:hanging="720"/>
        <w:rPr>
          <w:szCs w:val="24"/>
        </w:rPr>
      </w:pPr>
      <w:r w:rsidRPr="00DE0F43">
        <w:rPr>
          <w:szCs w:val="24"/>
        </w:rPr>
        <w:t xml:space="preserve">Grimes, M., &amp; Marquardson, J. (2019). Quality matters: Evoking subjective norms and coping appraisals by system design to increase security intentions. </w:t>
      </w:r>
      <w:r w:rsidRPr="00DE0F43">
        <w:rPr>
          <w:i/>
          <w:szCs w:val="24"/>
        </w:rPr>
        <w:t>Decision Support Systems</w:t>
      </w:r>
      <w:r w:rsidRPr="00DE0F43">
        <w:rPr>
          <w:szCs w:val="24"/>
        </w:rPr>
        <w:t>,</w:t>
      </w:r>
      <w:r w:rsidRPr="00DE0F43">
        <w:rPr>
          <w:i/>
          <w:szCs w:val="24"/>
        </w:rPr>
        <w:t xml:space="preserve"> 119</w:t>
      </w:r>
      <w:r w:rsidRPr="00DE0F43">
        <w:rPr>
          <w:szCs w:val="24"/>
        </w:rPr>
        <w:t xml:space="preserve">, 23-34. </w:t>
      </w:r>
      <w:r w:rsidRPr="001C56A3">
        <w:rPr>
          <w:szCs w:val="24"/>
        </w:rPr>
        <w:t>https://doi.org/10.1016/j.dss.2019.02.010</w:t>
      </w:r>
      <w:r w:rsidRPr="00DE0F43">
        <w:rPr>
          <w:szCs w:val="24"/>
        </w:rPr>
        <w:t xml:space="preserve"> </w:t>
      </w:r>
    </w:p>
    <w:p w14:paraId="42607B14" w14:textId="1F6C97AB" w:rsidR="00AD5D3F" w:rsidRPr="00DE0F43" w:rsidRDefault="00AD5D3F" w:rsidP="00AD5D3F">
      <w:pPr>
        <w:pStyle w:val="EndNoteBibliography"/>
        <w:spacing w:after="240"/>
        <w:ind w:left="720" w:hanging="720"/>
        <w:rPr>
          <w:szCs w:val="24"/>
        </w:rPr>
      </w:pPr>
      <w:r w:rsidRPr="00DE0F43">
        <w:rPr>
          <w:szCs w:val="24"/>
        </w:rPr>
        <w:t xml:space="preserve">Groves, W., Collins, J., Gini, M., &amp; Ketter, W. (2014). Agent-assisted supply chain management: Analysis and lessons learned. </w:t>
      </w:r>
      <w:r w:rsidRPr="00DE0F43">
        <w:rPr>
          <w:i/>
          <w:szCs w:val="24"/>
        </w:rPr>
        <w:t>Decision Support Systems</w:t>
      </w:r>
      <w:r w:rsidRPr="00DE0F43">
        <w:rPr>
          <w:szCs w:val="24"/>
        </w:rPr>
        <w:t>,</w:t>
      </w:r>
      <w:r w:rsidRPr="00DE0F43">
        <w:rPr>
          <w:i/>
          <w:szCs w:val="24"/>
        </w:rPr>
        <w:t xml:space="preserve"> 57</w:t>
      </w:r>
      <w:r w:rsidRPr="00DE0F43">
        <w:rPr>
          <w:szCs w:val="24"/>
        </w:rPr>
        <w:t xml:space="preserve">, 274-284. </w:t>
      </w:r>
      <w:r w:rsidRPr="001C56A3">
        <w:rPr>
          <w:szCs w:val="24"/>
        </w:rPr>
        <w:t>https://doi.org/10.1016/j.dss.2013.09.006</w:t>
      </w:r>
      <w:r w:rsidRPr="00DE0F43">
        <w:rPr>
          <w:szCs w:val="24"/>
        </w:rPr>
        <w:t xml:space="preserve"> </w:t>
      </w:r>
    </w:p>
    <w:p w14:paraId="0A5E8EED" w14:textId="0A01CCAB" w:rsidR="00AD5D3F" w:rsidRPr="00DE0F43" w:rsidRDefault="00AD5D3F" w:rsidP="00AD5D3F">
      <w:pPr>
        <w:pStyle w:val="EndNoteBibliography"/>
        <w:spacing w:after="240"/>
        <w:ind w:left="720" w:hanging="720"/>
        <w:rPr>
          <w:szCs w:val="24"/>
        </w:rPr>
      </w:pPr>
      <w:r w:rsidRPr="00DE0F43">
        <w:rPr>
          <w:szCs w:val="24"/>
        </w:rPr>
        <w:t xml:space="preserve">Gwebu, K. L., &amp; Wang, J. (2011). Adoption of Open Source Software: The role of social identification. </w:t>
      </w:r>
      <w:r w:rsidRPr="00DE0F43">
        <w:rPr>
          <w:i/>
          <w:szCs w:val="24"/>
        </w:rPr>
        <w:t>Decision Support Systems</w:t>
      </w:r>
      <w:r w:rsidRPr="00DE0F43">
        <w:rPr>
          <w:szCs w:val="24"/>
        </w:rPr>
        <w:t>,</w:t>
      </w:r>
      <w:r w:rsidRPr="00DE0F43">
        <w:rPr>
          <w:i/>
          <w:szCs w:val="24"/>
        </w:rPr>
        <w:t xml:space="preserve"> 51</w:t>
      </w:r>
      <w:r w:rsidRPr="00DE0F43">
        <w:rPr>
          <w:szCs w:val="24"/>
        </w:rPr>
        <w:t xml:space="preserve">(1), 220-229. </w:t>
      </w:r>
      <w:r w:rsidRPr="001C56A3">
        <w:rPr>
          <w:szCs w:val="24"/>
        </w:rPr>
        <w:t>https://doi.org/10.1016/j.dss.2010.12.010</w:t>
      </w:r>
      <w:r w:rsidRPr="00DE0F43">
        <w:rPr>
          <w:szCs w:val="24"/>
        </w:rPr>
        <w:t xml:space="preserve"> </w:t>
      </w:r>
    </w:p>
    <w:p w14:paraId="689DD9B6" w14:textId="77777777" w:rsidR="00AD5D3F" w:rsidRPr="00DE0F43" w:rsidRDefault="00AD5D3F" w:rsidP="00AD5D3F">
      <w:pPr>
        <w:pStyle w:val="EndNoteBibliography"/>
        <w:spacing w:after="240"/>
        <w:ind w:left="720" w:hanging="720"/>
        <w:rPr>
          <w:szCs w:val="24"/>
        </w:rPr>
      </w:pPr>
      <w:r w:rsidRPr="00DE0F43">
        <w:rPr>
          <w:szCs w:val="24"/>
        </w:rPr>
        <w:lastRenderedPageBreak/>
        <w:t xml:space="preserve">Hampton, N., Baig, Z., &amp; Zeadally, S. (2018). Ransomware behavioural analysis on windows platforms. </w:t>
      </w:r>
      <w:r w:rsidRPr="00DE0F43">
        <w:rPr>
          <w:i/>
          <w:szCs w:val="24"/>
        </w:rPr>
        <w:t>Journal of Information Security and Applications</w:t>
      </w:r>
      <w:r w:rsidRPr="00DE0F43">
        <w:rPr>
          <w:szCs w:val="24"/>
        </w:rPr>
        <w:t>,</w:t>
      </w:r>
      <w:r w:rsidRPr="00DE0F43">
        <w:rPr>
          <w:i/>
          <w:szCs w:val="24"/>
        </w:rPr>
        <w:t xml:space="preserve"> 40</w:t>
      </w:r>
      <w:r w:rsidRPr="00DE0F43">
        <w:rPr>
          <w:szCs w:val="24"/>
        </w:rPr>
        <w:t xml:space="preserve">, 44-51. </w:t>
      </w:r>
    </w:p>
    <w:p w14:paraId="0AB5FD21" w14:textId="02157884" w:rsidR="00AD5D3F" w:rsidRPr="00DE0F43" w:rsidRDefault="00AD5D3F" w:rsidP="00AD5D3F">
      <w:pPr>
        <w:pStyle w:val="EndNoteBibliography"/>
        <w:spacing w:after="240"/>
        <w:ind w:left="720" w:hanging="720"/>
        <w:rPr>
          <w:szCs w:val="24"/>
        </w:rPr>
      </w:pPr>
      <w:r w:rsidRPr="00DE0F43">
        <w:rPr>
          <w:szCs w:val="24"/>
        </w:rPr>
        <w:t xml:space="preserve">Han, B. (2018). Social Media Burnout: Definition, Measurement Instrument, and Why We Care. </w:t>
      </w:r>
      <w:r w:rsidRPr="00DE0F43">
        <w:rPr>
          <w:i/>
          <w:szCs w:val="24"/>
        </w:rPr>
        <w:t>Journal of Computer Information Systems</w:t>
      </w:r>
      <w:r w:rsidRPr="00DE0F43">
        <w:rPr>
          <w:szCs w:val="24"/>
        </w:rPr>
        <w:t>,</w:t>
      </w:r>
      <w:r w:rsidRPr="00DE0F43">
        <w:rPr>
          <w:i/>
          <w:szCs w:val="24"/>
        </w:rPr>
        <w:t xml:space="preserve"> 58</w:t>
      </w:r>
      <w:r w:rsidRPr="00DE0F43">
        <w:rPr>
          <w:szCs w:val="24"/>
        </w:rPr>
        <w:t xml:space="preserve">(2), 122-130. </w:t>
      </w:r>
      <w:r w:rsidRPr="001C56A3">
        <w:rPr>
          <w:szCs w:val="24"/>
        </w:rPr>
        <w:t>https://doi.org/10.1080/08874417.2016.1208064</w:t>
      </w:r>
      <w:r w:rsidRPr="00DE0F43">
        <w:rPr>
          <w:szCs w:val="24"/>
        </w:rPr>
        <w:t xml:space="preserve"> </w:t>
      </w:r>
    </w:p>
    <w:p w14:paraId="02BC7E95" w14:textId="0CBD22DE" w:rsidR="00AD5D3F" w:rsidRPr="00DE0F43" w:rsidRDefault="00AD5D3F" w:rsidP="00AD5D3F">
      <w:pPr>
        <w:pStyle w:val="EndNoteBibliography"/>
        <w:spacing w:after="240"/>
        <w:ind w:left="720" w:hanging="720"/>
        <w:rPr>
          <w:szCs w:val="24"/>
        </w:rPr>
      </w:pPr>
      <w:r w:rsidRPr="00DE0F43">
        <w:rPr>
          <w:szCs w:val="24"/>
        </w:rPr>
        <w:t xml:space="preserve">Herath, T., Chen, R., Wang, J., Banjara, K., Wilbur, J., &amp; Rao, H. R. (2014). Security services as coping mechanisms: an investigation into user intention to adopt an email authentication service. </w:t>
      </w:r>
      <w:r w:rsidRPr="00DE0F43">
        <w:rPr>
          <w:i/>
          <w:szCs w:val="24"/>
        </w:rPr>
        <w:t>Information Systems Journal</w:t>
      </w:r>
      <w:r w:rsidRPr="00DE0F43">
        <w:rPr>
          <w:szCs w:val="24"/>
        </w:rPr>
        <w:t>,</w:t>
      </w:r>
      <w:r w:rsidRPr="00DE0F43">
        <w:rPr>
          <w:i/>
          <w:szCs w:val="24"/>
        </w:rPr>
        <w:t xml:space="preserve"> 24</w:t>
      </w:r>
      <w:r w:rsidRPr="00DE0F43">
        <w:rPr>
          <w:szCs w:val="24"/>
        </w:rPr>
        <w:t xml:space="preserve">(1), 61-84. </w:t>
      </w:r>
      <w:r w:rsidRPr="001C56A3">
        <w:rPr>
          <w:szCs w:val="24"/>
        </w:rPr>
        <w:t>https://doi.org/10.1111/j.1365-2575.2012.00420.x</w:t>
      </w:r>
      <w:r w:rsidRPr="00DE0F43">
        <w:rPr>
          <w:szCs w:val="24"/>
        </w:rPr>
        <w:t xml:space="preserve"> </w:t>
      </w:r>
    </w:p>
    <w:p w14:paraId="1450D853" w14:textId="77777777" w:rsidR="00AD5D3F" w:rsidRPr="00DE0F43" w:rsidRDefault="00AD5D3F" w:rsidP="00AD5D3F">
      <w:pPr>
        <w:pStyle w:val="EndNoteBibliography"/>
        <w:spacing w:after="240"/>
        <w:ind w:left="720" w:hanging="720"/>
        <w:rPr>
          <w:szCs w:val="24"/>
        </w:rPr>
      </w:pPr>
      <w:r w:rsidRPr="00DE0F43">
        <w:rPr>
          <w:szCs w:val="24"/>
        </w:rPr>
        <w:t xml:space="preserve">Hermans, E., Ruan, D., Brijs, T., Wets, G., &amp; Vanhoof, K. (2010). Road safety risk evaluation by means of ordered weighted averaging operators and expert knowledge. </w:t>
      </w:r>
      <w:r w:rsidRPr="00DE0F43">
        <w:rPr>
          <w:i/>
          <w:szCs w:val="24"/>
        </w:rPr>
        <w:t>Knowledge-Based Systems</w:t>
      </w:r>
      <w:r w:rsidRPr="00DE0F43">
        <w:rPr>
          <w:szCs w:val="24"/>
        </w:rPr>
        <w:t>,</w:t>
      </w:r>
      <w:r w:rsidRPr="00DE0F43">
        <w:rPr>
          <w:i/>
          <w:szCs w:val="24"/>
        </w:rPr>
        <w:t xml:space="preserve"> 23</w:t>
      </w:r>
      <w:r w:rsidRPr="00DE0F43">
        <w:rPr>
          <w:szCs w:val="24"/>
        </w:rPr>
        <w:t xml:space="preserve">(1), 48-52. </w:t>
      </w:r>
      <w:r w:rsidRPr="001C56A3">
        <w:rPr>
          <w:szCs w:val="24"/>
        </w:rPr>
        <w:t>https://doi.org/10.1016/j.knosys.2009.07.004</w:t>
      </w:r>
      <w:r w:rsidRPr="00DE0F43">
        <w:rPr>
          <w:szCs w:val="24"/>
        </w:rPr>
        <w:t xml:space="preserve"> (Intelligent decision support and warning systems)</w:t>
      </w:r>
    </w:p>
    <w:p w14:paraId="7C87927C" w14:textId="7108FF9E" w:rsidR="00AD5D3F" w:rsidRPr="00DE0F43" w:rsidRDefault="00AD5D3F" w:rsidP="00AD5D3F">
      <w:pPr>
        <w:pStyle w:val="EndNoteBibliography"/>
        <w:spacing w:after="240"/>
        <w:ind w:left="720" w:hanging="720"/>
        <w:rPr>
          <w:szCs w:val="24"/>
        </w:rPr>
      </w:pPr>
      <w:r w:rsidRPr="00DE0F43">
        <w:rPr>
          <w:szCs w:val="24"/>
        </w:rPr>
        <w:t xml:space="preserve">Hietajarvi, L., Salmela-Aro, K., Tuominen, H., Hakkarainen, K., &amp; Lonka, K. (2019). Beyond screen time: Multidimensionality of socio-digital participation and relations to academic well-being in three educational phases. </w:t>
      </w:r>
      <w:r w:rsidRPr="00DE0F43">
        <w:rPr>
          <w:i/>
          <w:szCs w:val="24"/>
        </w:rPr>
        <w:t>Computers in Human Behavior</w:t>
      </w:r>
      <w:r w:rsidRPr="00DE0F43">
        <w:rPr>
          <w:szCs w:val="24"/>
        </w:rPr>
        <w:t>,</w:t>
      </w:r>
      <w:r w:rsidRPr="00DE0F43">
        <w:rPr>
          <w:i/>
          <w:szCs w:val="24"/>
        </w:rPr>
        <w:t xml:space="preserve"> 93</w:t>
      </w:r>
      <w:r w:rsidR="000B4FB5">
        <w:rPr>
          <w:szCs w:val="24"/>
        </w:rPr>
        <w:t>, 13-24.</w:t>
      </w:r>
      <w:r w:rsidRPr="00DE0F43">
        <w:rPr>
          <w:szCs w:val="24"/>
        </w:rPr>
        <w:t xml:space="preserve"> </w:t>
      </w:r>
      <w:r w:rsidRPr="001C56A3">
        <w:rPr>
          <w:szCs w:val="24"/>
        </w:rPr>
        <w:t>https://doi.org/10.1016/j.chb.2018.11.049</w:t>
      </w:r>
      <w:r w:rsidRPr="00DE0F43">
        <w:rPr>
          <w:szCs w:val="24"/>
        </w:rPr>
        <w:t xml:space="preserve"> </w:t>
      </w:r>
    </w:p>
    <w:p w14:paraId="780BA7F0" w14:textId="4EEF59FE" w:rsidR="00AD5D3F" w:rsidRPr="00DE0F43" w:rsidRDefault="00AD5D3F" w:rsidP="00AD5D3F">
      <w:pPr>
        <w:pStyle w:val="EndNoteBibliography"/>
        <w:spacing w:after="240"/>
        <w:ind w:left="720" w:hanging="720"/>
        <w:rPr>
          <w:szCs w:val="24"/>
        </w:rPr>
      </w:pPr>
      <w:r w:rsidRPr="00DE0F43">
        <w:rPr>
          <w:szCs w:val="24"/>
        </w:rPr>
        <w:t xml:space="preserve">Hinde, S. (1998). Corporate Governance and Disasters. </w:t>
      </w:r>
      <w:r w:rsidRPr="00DE0F43">
        <w:rPr>
          <w:i/>
          <w:szCs w:val="24"/>
        </w:rPr>
        <w:t>Computers &amp; Security</w:t>
      </w:r>
      <w:r w:rsidRPr="00DE0F43">
        <w:rPr>
          <w:szCs w:val="24"/>
        </w:rPr>
        <w:t>,</w:t>
      </w:r>
      <w:r w:rsidRPr="00DE0F43">
        <w:rPr>
          <w:i/>
          <w:szCs w:val="24"/>
        </w:rPr>
        <w:t xml:space="preserve"> 17</w:t>
      </w:r>
      <w:r w:rsidRPr="00DE0F43">
        <w:rPr>
          <w:szCs w:val="24"/>
        </w:rPr>
        <w:t xml:space="preserve">(7), 583. </w:t>
      </w:r>
      <w:r w:rsidRPr="001C56A3">
        <w:rPr>
          <w:szCs w:val="24"/>
        </w:rPr>
        <w:t>https://doi.org/10.1016/S0167-4048(99)80057-1</w:t>
      </w:r>
      <w:r w:rsidRPr="00DE0F43">
        <w:rPr>
          <w:szCs w:val="24"/>
        </w:rPr>
        <w:t xml:space="preserve"> </w:t>
      </w:r>
    </w:p>
    <w:p w14:paraId="72369CFE" w14:textId="59E9D950" w:rsidR="00AD5D3F" w:rsidRPr="00DE0F43" w:rsidRDefault="00AD5D3F" w:rsidP="00AD5D3F">
      <w:pPr>
        <w:pStyle w:val="EndNoteBibliography"/>
        <w:spacing w:after="240"/>
        <w:ind w:left="720" w:hanging="720"/>
        <w:rPr>
          <w:szCs w:val="24"/>
        </w:rPr>
      </w:pPr>
      <w:r w:rsidRPr="00DE0F43">
        <w:rPr>
          <w:szCs w:val="24"/>
        </w:rPr>
        <w:t xml:space="preserve">Hirschheim, R. (2007). Introduction to the Special Issue on "Quo Vadis TAM -- Issues and Reflections on Technology Acceptance Research". </w:t>
      </w:r>
      <w:r w:rsidRPr="00DE0F43">
        <w:rPr>
          <w:i/>
          <w:szCs w:val="24"/>
        </w:rPr>
        <w:t>Journal of the Association for Information Systems</w:t>
      </w:r>
      <w:r w:rsidRPr="00DE0F43">
        <w:rPr>
          <w:szCs w:val="24"/>
        </w:rPr>
        <w:t>,</w:t>
      </w:r>
      <w:r w:rsidRPr="00DE0F43">
        <w:rPr>
          <w:i/>
          <w:szCs w:val="24"/>
        </w:rPr>
        <w:t xml:space="preserve"> 8</w:t>
      </w:r>
      <w:r w:rsidRPr="00DE0F43">
        <w:rPr>
          <w:szCs w:val="24"/>
        </w:rPr>
        <w:t xml:space="preserve">(4), 204-205. </w:t>
      </w:r>
    </w:p>
    <w:p w14:paraId="3431B163" w14:textId="77777777" w:rsidR="00AD5D3F" w:rsidRPr="00DE0F43" w:rsidRDefault="00AD5D3F" w:rsidP="00AD5D3F">
      <w:pPr>
        <w:pStyle w:val="EndNoteBibliography"/>
        <w:spacing w:after="240"/>
        <w:ind w:left="720" w:hanging="720"/>
        <w:rPr>
          <w:szCs w:val="24"/>
        </w:rPr>
      </w:pPr>
      <w:r w:rsidRPr="00DE0F43">
        <w:rPr>
          <w:szCs w:val="24"/>
        </w:rPr>
        <w:t xml:space="preserve">Hosein, I., &amp; Whitley, E. A. (2002). The regulation of electronic commerce: learning from the UK's RIP act. </w:t>
      </w:r>
      <w:r w:rsidRPr="00DE0F43">
        <w:rPr>
          <w:i/>
          <w:szCs w:val="24"/>
        </w:rPr>
        <w:t>The Journal of Strategic Information Systems</w:t>
      </w:r>
      <w:r w:rsidRPr="00DE0F43">
        <w:rPr>
          <w:szCs w:val="24"/>
        </w:rPr>
        <w:t>,</w:t>
      </w:r>
      <w:r w:rsidRPr="00DE0F43">
        <w:rPr>
          <w:i/>
          <w:szCs w:val="24"/>
        </w:rPr>
        <w:t xml:space="preserve"> 11</w:t>
      </w:r>
      <w:r w:rsidRPr="00DE0F43">
        <w:rPr>
          <w:szCs w:val="24"/>
        </w:rPr>
        <w:t xml:space="preserve">(1), 31-58. </w:t>
      </w:r>
    </w:p>
    <w:p w14:paraId="716EF934" w14:textId="0D4514E2" w:rsidR="00AD5D3F" w:rsidRPr="00DE0F43" w:rsidRDefault="00AD5D3F" w:rsidP="00AD5D3F">
      <w:pPr>
        <w:pStyle w:val="EndNoteBibliography"/>
        <w:spacing w:after="240"/>
        <w:ind w:left="720" w:hanging="720"/>
        <w:rPr>
          <w:szCs w:val="24"/>
        </w:rPr>
      </w:pPr>
      <w:r w:rsidRPr="00DE0F43">
        <w:rPr>
          <w:szCs w:val="24"/>
        </w:rPr>
        <w:t xml:space="preserve">Hsu, J. S.-C., Lin, T.-C., Cheng, K.-T., &amp; Linden, L. P. (2012). Reducing Requirement Incorrectness and Coping with Its Negative Impact in Information System Development Projects </w:t>
      </w:r>
      <w:r w:rsidRPr="00DE0F43">
        <w:rPr>
          <w:i/>
          <w:szCs w:val="24"/>
        </w:rPr>
        <w:t>Decision Sciences</w:t>
      </w:r>
      <w:r w:rsidRPr="00DE0F43">
        <w:rPr>
          <w:szCs w:val="24"/>
        </w:rPr>
        <w:t>,</w:t>
      </w:r>
      <w:r w:rsidRPr="00DE0F43">
        <w:rPr>
          <w:i/>
          <w:szCs w:val="24"/>
        </w:rPr>
        <w:t xml:space="preserve"> 43</w:t>
      </w:r>
      <w:r w:rsidRPr="00DE0F43">
        <w:rPr>
          <w:szCs w:val="24"/>
        </w:rPr>
        <w:t xml:space="preserve">(5), 929-955. </w:t>
      </w:r>
      <w:r w:rsidRPr="001C56A3">
        <w:rPr>
          <w:szCs w:val="24"/>
        </w:rPr>
        <w:t>https://doi.org/10.1111/j.1540-5915.2012.00368.x</w:t>
      </w:r>
      <w:r w:rsidRPr="00DE0F43">
        <w:rPr>
          <w:szCs w:val="24"/>
        </w:rPr>
        <w:t xml:space="preserve"> </w:t>
      </w:r>
    </w:p>
    <w:p w14:paraId="495B42B7" w14:textId="4F5C50B6" w:rsidR="00AD5D3F" w:rsidRPr="00DE0F43" w:rsidRDefault="00AD5D3F" w:rsidP="00AD5D3F">
      <w:pPr>
        <w:pStyle w:val="EndNoteBibliography"/>
        <w:spacing w:after="240"/>
        <w:ind w:left="720" w:hanging="720"/>
        <w:rPr>
          <w:szCs w:val="24"/>
        </w:rPr>
      </w:pPr>
      <w:r w:rsidRPr="00DE0F43">
        <w:rPr>
          <w:szCs w:val="24"/>
        </w:rPr>
        <w:t xml:space="preserve">Hu, D., Yan, J., Zhao, J. L., &amp; Hua, Z. (2014). Ontology-based scenario modeling and analysis for bank stress testing </w:t>
      </w:r>
      <w:r w:rsidRPr="00DE0F43">
        <w:rPr>
          <w:i/>
          <w:szCs w:val="24"/>
        </w:rPr>
        <w:t>Decision Support Systems</w:t>
      </w:r>
      <w:r w:rsidRPr="00DE0F43">
        <w:rPr>
          <w:szCs w:val="24"/>
        </w:rPr>
        <w:t>,</w:t>
      </w:r>
      <w:r w:rsidRPr="00DE0F43">
        <w:rPr>
          <w:i/>
          <w:szCs w:val="24"/>
        </w:rPr>
        <w:t xml:space="preserve"> 63</w:t>
      </w:r>
      <w:r w:rsidRPr="00DE0F43">
        <w:rPr>
          <w:szCs w:val="24"/>
        </w:rPr>
        <w:t xml:space="preserve">, 81-94. </w:t>
      </w:r>
      <w:r w:rsidRPr="001C56A3">
        <w:rPr>
          <w:szCs w:val="24"/>
        </w:rPr>
        <w:t>https://doi.org/10.1016/j.dss.2013.08.009</w:t>
      </w:r>
      <w:r w:rsidRPr="00DE0F43">
        <w:rPr>
          <w:szCs w:val="24"/>
        </w:rPr>
        <w:t xml:space="preserve"> </w:t>
      </w:r>
    </w:p>
    <w:p w14:paraId="4D1B4603" w14:textId="77777777" w:rsidR="00AD5D3F" w:rsidRPr="00DE0F43" w:rsidRDefault="00AD5D3F" w:rsidP="00AD5D3F">
      <w:pPr>
        <w:pStyle w:val="EndNoteBibliography"/>
        <w:spacing w:after="240"/>
        <w:ind w:left="720" w:hanging="720"/>
        <w:rPr>
          <w:szCs w:val="24"/>
        </w:rPr>
      </w:pPr>
      <w:r w:rsidRPr="00DE0F43">
        <w:rPr>
          <w:szCs w:val="24"/>
        </w:rPr>
        <w:t xml:space="preserve">Hu, D., Zhao, J. L., Hua, Z., &amp; Wong, M. C. (2012). Network-based modeling and analysis of systemic risk in banking systems. </w:t>
      </w:r>
      <w:r w:rsidRPr="00DE0F43">
        <w:rPr>
          <w:i/>
          <w:szCs w:val="24"/>
        </w:rPr>
        <w:t>MIS Quarterly</w:t>
      </w:r>
      <w:r w:rsidRPr="00DE0F43">
        <w:rPr>
          <w:szCs w:val="24"/>
        </w:rPr>
        <w:t>,</w:t>
      </w:r>
      <w:r w:rsidRPr="00DE0F43">
        <w:rPr>
          <w:i/>
          <w:szCs w:val="24"/>
        </w:rPr>
        <w:t xml:space="preserve"> 36</w:t>
      </w:r>
      <w:r w:rsidRPr="00DE0F43">
        <w:rPr>
          <w:szCs w:val="24"/>
        </w:rPr>
        <w:t xml:space="preserve">(4), 1269-1291. </w:t>
      </w:r>
    </w:p>
    <w:p w14:paraId="2A59D1A2" w14:textId="239132CE" w:rsidR="00AD5D3F" w:rsidRPr="00DE0F43" w:rsidRDefault="00AD5D3F" w:rsidP="00AD5D3F">
      <w:pPr>
        <w:pStyle w:val="EndNoteBibliography"/>
        <w:spacing w:after="240"/>
        <w:ind w:left="720" w:hanging="720"/>
        <w:rPr>
          <w:szCs w:val="24"/>
        </w:rPr>
      </w:pPr>
      <w:r w:rsidRPr="00DE0F43">
        <w:rPr>
          <w:szCs w:val="24"/>
        </w:rPr>
        <w:t xml:space="preserve">Hua, J., Chen, Y., &amp; Luo, X. (2018). Are we ready for cyberterrorist attacks?—Examining the role of individual resilience </w:t>
      </w:r>
      <w:r w:rsidRPr="00DE0F43">
        <w:rPr>
          <w:i/>
          <w:szCs w:val="24"/>
        </w:rPr>
        <w:t>Information &amp; Management</w:t>
      </w:r>
      <w:r w:rsidRPr="00DE0F43">
        <w:rPr>
          <w:szCs w:val="24"/>
        </w:rPr>
        <w:t>,</w:t>
      </w:r>
      <w:r w:rsidRPr="00DE0F43">
        <w:rPr>
          <w:i/>
          <w:szCs w:val="24"/>
        </w:rPr>
        <w:t xml:space="preserve"> 55</w:t>
      </w:r>
      <w:r w:rsidRPr="00DE0F43">
        <w:rPr>
          <w:szCs w:val="24"/>
        </w:rPr>
        <w:t xml:space="preserve">(7), 928-938. </w:t>
      </w:r>
      <w:r w:rsidRPr="001C56A3">
        <w:rPr>
          <w:szCs w:val="24"/>
        </w:rPr>
        <w:t>https://doi.org/10.1016/j.im.2018.04.008</w:t>
      </w:r>
      <w:r w:rsidRPr="00DE0F43">
        <w:rPr>
          <w:szCs w:val="24"/>
        </w:rPr>
        <w:t xml:space="preserve"> </w:t>
      </w:r>
    </w:p>
    <w:p w14:paraId="52CC06F2" w14:textId="59BFC5E4" w:rsidR="00AD5D3F" w:rsidRPr="00DE0F43" w:rsidRDefault="00AD5D3F" w:rsidP="00AD5D3F">
      <w:pPr>
        <w:pStyle w:val="EndNoteBibliography"/>
        <w:spacing w:after="240"/>
        <w:ind w:left="720" w:hanging="720"/>
        <w:rPr>
          <w:szCs w:val="24"/>
        </w:rPr>
      </w:pPr>
      <w:r w:rsidRPr="00DE0F43">
        <w:rPr>
          <w:szCs w:val="24"/>
        </w:rPr>
        <w:lastRenderedPageBreak/>
        <w:t xml:space="preserve">Introna, L. D., &amp; Whitley, E. A. (2000). About experiments and style – A critique of laboratory research in information systems. </w:t>
      </w:r>
      <w:r w:rsidRPr="00DE0F43">
        <w:rPr>
          <w:i/>
          <w:szCs w:val="24"/>
        </w:rPr>
        <w:t>Information Technology &amp; People</w:t>
      </w:r>
      <w:r w:rsidRPr="00DE0F43">
        <w:rPr>
          <w:szCs w:val="24"/>
        </w:rPr>
        <w:t>,</w:t>
      </w:r>
      <w:r w:rsidRPr="00DE0F43">
        <w:rPr>
          <w:i/>
          <w:szCs w:val="24"/>
        </w:rPr>
        <w:t xml:space="preserve"> 13</w:t>
      </w:r>
      <w:r w:rsidRPr="00DE0F43">
        <w:rPr>
          <w:szCs w:val="24"/>
        </w:rPr>
        <w:t>(3), 161</w:t>
      </w:r>
      <w:r w:rsidR="000B4FB5">
        <w:rPr>
          <w:szCs w:val="24"/>
        </w:rPr>
        <w:t>-173</w:t>
      </w:r>
      <w:r w:rsidRPr="00DE0F43">
        <w:rPr>
          <w:szCs w:val="24"/>
        </w:rPr>
        <w:t xml:space="preserve">. </w:t>
      </w:r>
    </w:p>
    <w:p w14:paraId="78335C9C" w14:textId="64B36871" w:rsidR="00AD5D3F" w:rsidRPr="00DE0F43" w:rsidRDefault="00AD5D3F" w:rsidP="00AD5D3F">
      <w:pPr>
        <w:pStyle w:val="EndNoteBibliography"/>
        <w:spacing w:after="240"/>
        <w:ind w:left="720" w:hanging="720"/>
        <w:rPr>
          <w:szCs w:val="24"/>
        </w:rPr>
      </w:pPr>
      <w:r w:rsidRPr="00DE0F43">
        <w:rPr>
          <w:szCs w:val="24"/>
        </w:rPr>
        <w:t xml:space="preserve">Irani, Z., &amp; Fitzgerald, G. (2002). Editorial. </w:t>
      </w:r>
      <w:r w:rsidRPr="00DE0F43">
        <w:rPr>
          <w:i/>
          <w:szCs w:val="24"/>
        </w:rPr>
        <w:t>Information Systems Journal</w:t>
      </w:r>
      <w:r w:rsidRPr="00DE0F43">
        <w:rPr>
          <w:szCs w:val="24"/>
        </w:rPr>
        <w:t>,</w:t>
      </w:r>
      <w:r w:rsidRPr="00DE0F43">
        <w:rPr>
          <w:i/>
          <w:szCs w:val="24"/>
        </w:rPr>
        <w:t xml:space="preserve"> 12</w:t>
      </w:r>
      <w:r w:rsidRPr="00DE0F43">
        <w:rPr>
          <w:szCs w:val="24"/>
        </w:rPr>
        <w:t xml:space="preserve">(4), 263-269. </w:t>
      </w:r>
      <w:r w:rsidRPr="001C56A3">
        <w:rPr>
          <w:szCs w:val="24"/>
        </w:rPr>
        <w:t>https://doi.org/10.1046/j.1365-2575.2002.00135.x</w:t>
      </w:r>
      <w:r w:rsidRPr="00DE0F43">
        <w:rPr>
          <w:szCs w:val="24"/>
        </w:rPr>
        <w:t xml:space="preserve"> </w:t>
      </w:r>
    </w:p>
    <w:p w14:paraId="6574BFAF" w14:textId="654F9D1C" w:rsidR="00AD5D3F" w:rsidRPr="00DE0F43" w:rsidRDefault="00AD5D3F" w:rsidP="00AD5D3F">
      <w:pPr>
        <w:pStyle w:val="EndNoteBibliography"/>
        <w:spacing w:after="240"/>
        <w:ind w:left="720" w:hanging="720"/>
        <w:rPr>
          <w:szCs w:val="24"/>
        </w:rPr>
      </w:pPr>
      <w:r w:rsidRPr="00DE0F43">
        <w:rPr>
          <w:szCs w:val="24"/>
        </w:rPr>
        <w:t>Irani, Z., &amp; Love, P. (2002). Developing a frame of reference for ex-ante IT/IS investment evaluation</w:t>
      </w:r>
      <w:r w:rsidR="000B4FB5">
        <w:rPr>
          <w:szCs w:val="24"/>
        </w:rPr>
        <w:t>.</w:t>
      </w:r>
      <w:r w:rsidRPr="00DE0F43">
        <w:rPr>
          <w:szCs w:val="24"/>
        </w:rPr>
        <w:t xml:space="preserve"> </w:t>
      </w:r>
      <w:r w:rsidRPr="00DE0F43">
        <w:rPr>
          <w:i/>
          <w:szCs w:val="24"/>
        </w:rPr>
        <w:t>European Journal of Information Systems</w:t>
      </w:r>
      <w:r w:rsidRPr="00DE0F43">
        <w:rPr>
          <w:szCs w:val="24"/>
        </w:rPr>
        <w:t>,</w:t>
      </w:r>
      <w:r w:rsidRPr="00DE0F43">
        <w:rPr>
          <w:i/>
          <w:szCs w:val="24"/>
        </w:rPr>
        <w:t xml:space="preserve"> 11</w:t>
      </w:r>
      <w:r w:rsidRPr="00DE0F43">
        <w:rPr>
          <w:szCs w:val="24"/>
        </w:rPr>
        <w:t>(1), 74</w:t>
      </w:r>
      <w:r w:rsidR="000B4FB5">
        <w:rPr>
          <w:szCs w:val="24"/>
        </w:rPr>
        <w:t>-82</w:t>
      </w:r>
      <w:r w:rsidRPr="00DE0F43">
        <w:rPr>
          <w:szCs w:val="24"/>
        </w:rPr>
        <w:t xml:space="preserve">. </w:t>
      </w:r>
      <w:r w:rsidRPr="001C56A3">
        <w:rPr>
          <w:szCs w:val="24"/>
        </w:rPr>
        <w:t>https://doi.org/10.1057/palgrave/ejis/3000411</w:t>
      </w:r>
      <w:r w:rsidRPr="00DE0F43">
        <w:rPr>
          <w:szCs w:val="24"/>
        </w:rPr>
        <w:t xml:space="preserve"> </w:t>
      </w:r>
    </w:p>
    <w:p w14:paraId="4AEA95E2" w14:textId="6279CD15" w:rsidR="00AD5D3F" w:rsidRPr="00DE0F43" w:rsidRDefault="00AD5D3F" w:rsidP="00AD5D3F">
      <w:pPr>
        <w:pStyle w:val="EndNoteBibliography"/>
        <w:spacing w:after="240"/>
        <w:ind w:left="720" w:hanging="720"/>
        <w:rPr>
          <w:szCs w:val="24"/>
        </w:rPr>
      </w:pPr>
      <w:r w:rsidRPr="00DE0F43">
        <w:rPr>
          <w:szCs w:val="24"/>
        </w:rPr>
        <w:t xml:space="preserve">Irani, Z., Love, P. E. D., Elliman, T., Jones, S., &amp; Themistocleous, M. (2005). Evaluating e-government: learning from the experiences of two UK local authorities </w:t>
      </w:r>
      <w:r w:rsidRPr="00DE0F43">
        <w:rPr>
          <w:i/>
          <w:szCs w:val="24"/>
        </w:rPr>
        <w:t>Information Systems Journal</w:t>
      </w:r>
      <w:r w:rsidRPr="00DE0F43">
        <w:rPr>
          <w:szCs w:val="24"/>
        </w:rPr>
        <w:t>,</w:t>
      </w:r>
      <w:r w:rsidRPr="00DE0F43">
        <w:rPr>
          <w:i/>
          <w:szCs w:val="24"/>
        </w:rPr>
        <w:t xml:space="preserve"> 15</w:t>
      </w:r>
      <w:r w:rsidRPr="00DE0F43">
        <w:rPr>
          <w:szCs w:val="24"/>
        </w:rPr>
        <w:t xml:space="preserve">(1), 61-82. </w:t>
      </w:r>
      <w:r w:rsidRPr="001C56A3">
        <w:rPr>
          <w:szCs w:val="24"/>
        </w:rPr>
        <w:t>https://doi.org/10.1111/j.1365-2575.2005.00186.x</w:t>
      </w:r>
      <w:r w:rsidRPr="00DE0F43">
        <w:rPr>
          <w:szCs w:val="24"/>
        </w:rPr>
        <w:t xml:space="preserve"> </w:t>
      </w:r>
    </w:p>
    <w:p w14:paraId="2484DBDD" w14:textId="75BD7B16" w:rsidR="00AD5D3F" w:rsidRPr="00DE0F43" w:rsidRDefault="00AD5D3F" w:rsidP="00AD5D3F">
      <w:pPr>
        <w:pStyle w:val="EndNoteBibliography"/>
        <w:spacing w:after="240"/>
        <w:ind w:left="720" w:hanging="720"/>
        <w:rPr>
          <w:szCs w:val="24"/>
        </w:rPr>
      </w:pPr>
      <w:r w:rsidRPr="00DE0F43">
        <w:rPr>
          <w:szCs w:val="24"/>
        </w:rPr>
        <w:t xml:space="preserve">Irani, Z., Sharif, A. M., &amp; Love, P. E. D. (2005). Linking knowledge transformation to Information Systems evaluation </w:t>
      </w:r>
      <w:r w:rsidRPr="00DE0F43">
        <w:rPr>
          <w:i/>
          <w:szCs w:val="24"/>
        </w:rPr>
        <w:t>European Journal of Information Systems</w:t>
      </w:r>
      <w:r w:rsidRPr="00DE0F43">
        <w:rPr>
          <w:szCs w:val="24"/>
        </w:rPr>
        <w:t>,</w:t>
      </w:r>
      <w:r w:rsidRPr="00DE0F43">
        <w:rPr>
          <w:i/>
          <w:szCs w:val="24"/>
        </w:rPr>
        <w:t xml:space="preserve"> 14</w:t>
      </w:r>
      <w:r w:rsidRPr="00DE0F43">
        <w:rPr>
          <w:szCs w:val="24"/>
        </w:rPr>
        <w:t xml:space="preserve">(3), 213-228. </w:t>
      </w:r>
      <w:r w:rsidRPr="001C56A3">
        <w:rPr>
          <w:szCs w:val="24"/>
        </w:rPr>
        <w:t>https://doi.org/10.1057/palgrave.ejis.3000538</w:t>
      </w:r>
      <w:r w:rsidRPr="00DE0F43">
        <w:rPr>
          <w:szCs w:val="24"/>
        </w:rPr>
        <w:t xml:space="preserve"> </w:t>
      </w:r>
    </w:p>
    <w:p w14:paraId="17F3822F" w14:textId="012800BE" w:rsidR="00AD5D3F" w:rsidRPr="00DE0F43" w:rsidRDefault="00AD5D3F" w:rsidP="00AD5D3F">
      <w:pPr>
        <w:pStyle w:val="EndNoteBibliography"/>
        <w:spacing w:after="240"/>
        <w:ind w:left="720" w:hanging="720"/>
        <w:rPr>
          <w:szCs w:val="24"/>
        </w:rPr>
      </w:pPr>
      <w:r w:rsidRPr="00DE0F43">
        <w:rPr>
          <w:szCs w:val="24"/>
        </w:rPr>
        <w:t xml:space="preserve">Jarvenpaa, S. L., &amp; Majchrzak, A. (2010). Vigilant Interaction in Knowledge Collaboration: Challenges of Online User Participation Under Ambivalence </w:t>
      </w:r>
      <w:r w:rsidRPr="00DE0F43">
        <w:rPr>
          <w:i/>
          <w:szCs w:val="24"/>
        </w:rPr>
        <w:t>Information Systems Research</w:t>
      </w:r>
      <w:r w:rsidRPr="00DE0F43">
        <w:rPr>
          <w:szCs w:val="24"/>
        </w:rPr>
        <w:t>,</w:t>
      </w:r>
      <w:r w:rsidRPr="00DE0F43">
        <w:rPr>
          <w:i/>
          <w:szCs w:val="24"/>
        </w:rPr>
        <w:t xml:space="preserve"> 21</w:t>
      </w:r>
      <w:r w:rsidRPr="00DE0F43">
        <w:rPr>
          <w:szCs w:val="24"/>
        </w:rPr>
        <w:t xml:space="preserve">(4), 773-784. </w:t>
      </w:r>
      <w:r w:rsidRPr="001C56A3">
        <w:rPr>
          <w:szCs w:val="24"/>
        </w:rPr>
        <w:t>https://doi.org/10.1287/isre.1100.0320</w:t>
      </w:r>
      <w:r w:rsidRPr="00DE0F43">
        <w:rPr>
          <w:szCs w:val="24"/>
        </w:rPr>
        <w:t xml:space="preserve"> </w:t>
      </w:r>
    </w:p>
    <w:p w14:paraId="73D5F0D4" w14:textId="76B13556" w:rsidR="00AD5D3F" w:rsidRPr="00DE0F43" w:rsidRDefault="00AD5D3F" w:rsidP="00AD5D3F">
      <w:pPr>
        <w:pStyle w:val="EndNoteBibliography"/>
        <w:spacing w:after="240"/>
        <w:ind w:left="720" w:hanging="720"/>
        <w:rPr>
          <w:szCs w:val="24"/>
        </w:rPr>
      </w:pPr>
      <w:r w:rsidRPr="00DE0F43">
        <w:rPr>
          <w:szCs w:val="24"/>
        </w:rPr>
        <w:t xml:space="preserve">Jenkins, J. L., Anderson, B. B., Vance, A., Kirwan, C. B., &amp; Eargle, D. (2016). More Harm Than Good? How Messages That Interrupt Can Make Us Vulnerable </w:t>
      </w:r>
      <w:r w:rsidRPr="00DE0F43">
        <w:rPr>
          <w:i/>
          <w:szCs w:val="24"/>
        </w:rPr>
        <w:t>Information Systems Research</w:t>
      </w:r>
      <w:r w:rsidRPr="00DE0F43">
        <w:rPr>
          <w:szCs w:val="24"/>
        </w:rPr>
        <w:t>,</w:t>
      </w:r>
      <w:r w:rsidRPr="00DE0F43">
        <w:rPr>
          <w:i/>
          <w:szCs w:val="24"/>
        </w:rPr>
        <w:t xml:space="preserve"> 27</w:t>
      </w:r>
      <w:r w:rsidRPr="00DE0F43">
        <w:rPr>
          <w:szCs w:val="24"/>
        </w:rPr>
        <w:t xml:space="preserve">(4), 880-896. </w:t>
      </w:r>
      <w:r w:rsidRPr="001C56A3">
        <w:rPr>
          <w:szCs w:val="24"/>
        </w:rPr>
        <w:t>https://doi.org/10.1287/isre.2016.0644</w:t>
      </w:r>
      <w:r w:rsidRPr="00DE0F43">
        <w:rPr>
          <w:szCs w:val="24"/>
        </w:rPr>
        <w:t xml:space="preserve"> </w:t>
      </w:r>
    </w:p>
    <w:p w14:paraId="7184F836" w14:textId="77777777" w:rsidR="00AD5D3F" w:rsidRPr="00DE0F43" w:rsidRDefault="00AD5D3F" w:rsidP="00AD5D3F">
      <w:pPr>
        <w:pStyle w:val="EndNoteBibliography"/>
        <w:spacing w:after="240"/>
        <w:ind w:left="720" w:hanging="720"/>
        <w:rPr>
          <w:szCs w:val="24"/>
        </w:rPr>
      </w:pPr>
      <w:r w:rsidRPr="00DE0F43">
        <w:rPr>
          <w:szCs w:val="24"/>
        </w:rPr>
        <w:t xml:space="preserve">Jha, A. K., &amp; Shah, S. (2019). Social Influence on Future Review Sentiments: An Appraisal-Theoretic View. </w:t>
      </w:r>
      <w:r w:rsidRPr="00DE0F43">
        <w:rPr>
          <w:i/>
          <w:szCs w:val="24"/>
        </w:rPr>
        <w:t>Journal of Management Information Systems</w:t>
      </w:r>
      <w:r w:rsidRPr="00DE0F43">
        <w:rPr>
          <w:szCs w:val="24"/>
        </w:rPr>
        <w:t>,</w:t>
      </w:r>
      <w:r w:rsidRPr="00DE0F43">
        <w:rPr>
          <w:i/>
          <w:szCs w:val="24"/>
        </w:rPr>
        <w:t xml:space="preserve"> 36</w:t>
      </w:r>
      <w:r w:rsidRPr="00DE0F43">
        <w:rPr>
          <w:szCs w:val="24"/>
        </w:rPr>
        <w:t xml:space="preserve">(2), 610-638. </w:t>
      </w:r>
    </w:p>
    <w:p w14:paraId="153331EC" w14:textId="07582CEB" w:rsidR="00AD5D3F" w:rsidRPr="00DE0F43" w:rsidRDefault="00AD5D3F" w:rsidP="00AD5D3F">
      <w:pPr>
        <w:pStyle w:val="EndNoteBibliography"/>
        <w:spacing w:after="240"/>
        <w:ind w:left="720" w:hanging="720"/>
        <w:rPr>
          <w:szCs w:val="24"/>
        </w:rPr>
      </w:pPr>
      <w:r w:rsidRPr="00DE0F43">
        <w:rPr>
          <w:szCs w:val="24"/>
        </w:rPr>
        <w:t xml:space="preserve">Jones, Q., Ravid, G., &amp; Rafaeli, S. (2004). Information Overload and the Message Dynamics of Online Interaction Spaces: A Theoretical Model and Empirical Exploration </w:t>
      </w:r>
      <w:r w:rsidRPr="00DE0F43">
        <w:rPr>
          <w:i/>
          <w:szCs w:val="24"/>
        </w:rPr>
        <w:t>Information Systems Research</w:t>
      </w:r>
      <w:r w:rsidRPr="00DE0F43">
        <w:rPr>
          <w:szCs w:val="24"/>
        </w:rPr>
        <w:t>,</w:t>
      </w:r>
      <w:r w:rsidRPr="00DE0F43">
        <w:rPr>
          <w:i/>
          <w:szCs w:val="24"/>
        </w:rPr>
        <w:t xml:space="preserve"> 15</w:t>
      </w:r>
      <w:r w:rsidRPr="00DE0F43">
        <w:rPr>
          <w:szCs w:val="24"/>
        </w:rPr>
        <w:t xml:space="preserve">(2), 194-210. </w:t>
      </w:r>
      <w:r w:rsidRPr="001C56A3">
        <w:rPr>
          <w:szCs w:val="24"/>
        </w:rPr>
        <w:t>https://doi.org/10.1287/isre.1040.0023</w:t>
      </w:r>
      <w:r w:rsidRPr="00DE0F43">
        <w:rPr>
          <w:szCs w:val="24"/>
        </w:rPr>
        <w:t xml:space="preserve"> </w:t>
      </w:r>
    </w:p>
    <w:p w14:paraId="680ED96A" w14:textId="77777777" w:rsidR="00AD5D3F" w:rsidRPr="00DE0F43" w:rsidRDefault="00AD5D3F" w:rsidP="00AD5D3F">
      <w:pPr>
        <w:pStyle w:val="EndNoteBibliography"/>
        <w:spacing w:after="240"/>
        <w:ind w:left="720" w:hanging="720"/>
        <w:rPr>
          <w:szCs w:val="24"/>
        </w:rPr>
      </w:pPr>
      <w:r w:rsidRPr="00DE0F43">
        <w:rPr>
          <w:szCs w:val="24"/>
        </w:rPr>
        <w:t xml:space="preserve">Joseph, G. W., &amp; Blanton, J. E. (1992). Computer infectors: prevention, detection, and recovery. </w:t>
      </w:r>
      <w:r w:rsidRPr="00DE0F43">
        <w:rPr>
          <w:i/>
          <w:szCs w:val="24"/>
        </w:rPr>
        <w:t>Information &amp; Management</w:t>
      </w:r>
      <w:r w:rsidRPr="00DE0F43">
        <w:rPr>
          <w:szCs w:val="24"/>
        </w:rPr>
        <w:t>,</w:t>
      </w:r>
      <w:r w:rsidRPr="00DE0F43">
        <w:rPr>
          <w:i/>
          <w:szCs w:val="24"/>
        </w:rPr>
        <w:t xml:space="preserve"> 23</w:t>
      </w:r>
      <w:r w:rsidRPr="00DE0F43">
        <w:rPr>
          <w:szCs w:val="24"/>
        </w:rPr>
        <w:t xml:space="preserve">(4), 205-216. </w:t>
      </w:r>
    </w:p>
    <w:p w14:paraId="1CB79792" w14:textId="68A7BE51" w:rsidR="00AD5D3F" w:rsidRPr="00DE0F43" w:rsidRDefault="00AD5D3F" w:rsidP="00AD5D3F">
      <w:pPr>
        <w:pStyle w:val="EndNoteBibliography"/>
        <w:spacing w:after="240"/>
        <w:ind w:left="720" w:hanging="720"/>
        <w:rPr>
          <w:szCs w:val="24"/>
        </w:rPr>
      </w:pPr>
      <w:r w:rsidRPr="00DE0F43">
        <w:rPr>
          <w:szCs w:val="24"/>
        </w:rPr>
        <w:t xml:space="preserve">Joyce, W. F., McGee, V. E., &amp; Slocum, J. W., Jr. (1997). Designing lateral organizations: an analysis of the benefits, costs, and enablers of nonhierarchical organizational forms. </w:t>
      </w:r>
      <w:r w:rsidRPr="00DE0F43">
        <w:rPr>
          <w:i/>
          <w:szCs w:val="24"/>
        </w:rPr>
        <w:t>Decision Sciences</w:t>
      </w:r>
      <w:r w:rsidR="000B4FB5">
        <w:rPr>
          <w:i/>
          <w:szCs w:val="24"/>
        </w:rPr>
        <w:t>, 28</w:t>
      </w:r>
      <w:r w:rsidRPr="00DE0F43">
        <w:rPr>
          <w:szCs w:val="24"/>
        </w:rPr>
        <w:t>(1), 1</w:t>
      </w:r>
      <w:r w:rsidR="000B4FB5">
        <w:rPr>
          <w:szCs w:val="24"/>
        </w:rPr>
        <w:t>-25</w:t>
      </w:r>
      <w:r w:rsidRPr="00DE0F43">
        <w:rPr>
          <w:szCs w:val="24"/>
        </w:rPr>
        <w:t xml:space="preserve">. </w:t>
      </w:r>
    </w:p>
    <w:p w14:paraId="4A3E6A45" w14:textId="77777777" w:rsidR="00AD5D3F" w:rsidRPr="00DE0F43" w:rsidRDefault="00AD5D3F" w:rsidP="00AD5D3F">
      <w:pPr>
        <w:pStyle w:val="EndNoteBibliography"/>
        <w:spacing w:after="240"/>
        <w:ind w:left="720" w:hanging="720"/>
        <w:rPr>
          <w:szCs w:val="24"/>
        </w:rPr>
      </w:pPr>
      <w:r w:rsidRPr="00DE0F43">
        <w:rPr>
          <w:szCs w:val="24"/>
        </w:rPr>
        <w:t xml:space="preserve">Kallinikos, J. (2004). Deconstructing information packages : Organizational and behavioural implications of ERP systems. </w:t>
      </w:r>
      <w:r w:rsidRPr="00DE0F43">
        <w:rPr>
          <w:i/>
          <w:szCs w:val="24"/>
        </w:rPr>
        <w:t>Information Technology &amp; People</w:t>
      </w:r>
      <w:r w:rsidRPr="00DE0F43">
        <w:rPr>
          <w:szCs w:val="24"/>
        </w:rPr>
        <w:t>,</w:t>
      </w:r>
      <w:r w:rsidRPr="00DE0F43">
        <w:rPr>
          <w:i/>
          <w:szCs w:val="24"/>
        </w:rPr>
        <w:t xml:space="preserve"> 17</w:t>
      </w:r>
      <w:r w:rsidRPr="00DE0F43">
        <w:rPr>
          <w:szCs w:val="24"/>
        </w:rPr>
        <w:t xml:space="preserve">(1), 8-30. </w:t>
      </w:r>
      <w:r w:rsidRPr="001C56A3">
        <w:rPr>
          <w:szCs w:val="24"/>
        </w:rPr>
        <w:t>https://doi.org/10.1108/09593840410522152</w:t>
      </w:r>
      <w:r w:rsidRPr="00DE0F43">
        <w:rPr>
          <w:szCs w:val="24"/>
        </w:rPr>
        <w:t xml:space="preserve"> </w:t>
      </w:r>
    </w:p>
    <w:p w14:paraId="577FB5AD" w14:textId="5CBFD802" w:rsidR="00AD5D3F" w:rsidRPr="00DE0F43" w:rsidRDefault="00AD5D3F" w:rsidP="00AD5D3F">
      <w:pPr>
        <w:pStyle w:val="EndNoteBibliography"/>
        <w:spacing w:after="240"/>
        <w:ind w:left="720" w:hanging="720"/>
        <w:rPr>
          <w:szCs w:val="24"/>
        </w:rPr>
      </w:pPr>
      <w:r w:rsidRPr="00DE0F43">
        <w:rPr>
          <w:szCs w:val="24"/>
        </w:rPr>
        <w:t xml:space="preserve">Kandias, M., Gritzalis, D., Stavrou, V., &amp; Nikoloulis, K. (2017). Stress level detection via OSN usage pattern and chronicity analysis: An OSINT threat intelligence module </w:t>
      </w:r>
      <w:r w:rsidRPr="00DE0F43">
        <w:rPr>
          <w:i/>
          <w:szCs w:val="24"/>
        </w:rPr>
        <w:t>Computers &amp; Security</w:t>
      </w:r>
      <w:r w:rsidRPr="00DE0F43">
        <w:rPr>
          <w:szCs w:val="24"/>
        </w:rPr>
        <w:t>,</w:t>
      </w:r>
      <w:r w:rsidRPr="00DE0F43">
        <w:rPr>
          <w:i/>
          <w:szCs w:val="24"/>
        </w:rPr>
        <w:t xml:space="preserve"> 69</w:t>
      </w:r>
      <w:r w:rsidRPr="00DE0F43">
        <w:rPr>
          <w:szCs w:val="24"/>
        </w:rPr>
        <w:t xml:space="preserve">, 3-17. </w:t>
      </w:r>
      <w:r w:rsidRPr="001C56A3">
        <w:rPr>
          <w:szCs w:val="24"/>
        </w:rPr>
        <w:t>https://doi.org/10.1016/j.cose.2016.12.003</w:t>
      </w:r>
      <w:r w:rsidRPr="00DE0F43">
        <w:rPr>
          <w:szCs w:val="24"/>
        </w:rPr>
        <w:t xml:space="preserve"> </w:t>
      </w:r>
    </w:p>
    <w:p w14:paraId="59699B2B" w14:textId="46CEBE1C" w:rsidR="00AD5D3F" w:rsidRPr="00DE0F43" w:rsidRDefault="00AD5D3F" w:rsidP="00AD5D3F">
      <w:pPr>
        <w:pStyle w:val="EndNoteBibliography"/>
        <w:spacing w:after="240"/>
        <w:ind w:left="720" w:hanging="720"/>
        <w:rPr>
          <w:szCs w:val="24"/>
        </w:rPr>
      </w:pPr>
      <w:r w:rsidRPr="00DE0F43">
        <w:rPr>
          <w:szCs w:val="24"/>
        </w:rPr>
        <w:lastRenderedPageBreak/>
        <w:t xml:space="preserve">Karpovsky, A., &amp; Galliers, R. D. (2015). Aligning in practice: from current cases to a new agenda </w:t>
      </w:r>
      <w:r w:rsidRPr="00DE0F43">
        <w:rPr>
          <w:i/>
          <w:szCs w:val="24"/>
        </w:rPr>
        <w:t>Journal of Information Technology 30</w:t>
      </w:r>
      <w:r w:rsidRPr="00DE0F43">
        <w:rPr>
          <w:szCs w:val="24"/>
        </w:rPr>
        <w:t xml:space="preserve">(2), 136-160. </w:t>
      </w:r>
      <w:r w:rsidRPr="001C56A3">
        <w:rPr>
          <w:szCs w:val="24"/>
        </w:rPr>
        <w:t>https://doi.org/10.1057/jit.2014.34</w:t>
      </w:r>
      <w:r w:rsidRPr="00DE0F43">
        <w:rPr>
          <w:szCs w:val="24"/>
        </w:rPr>
        <w:t xml:space="preserve"> </w:t>
      </w:r>
    </w:p>
    <w:p w14:paraId="43729AFC" w14:textId="77777777" w:rsidR="00AD5D3F" w:rsidRPr="00DE0F43" w:rsidRDefault="00AD5D3F" w:rsidP="00AD5D3F">
      <w:pPr>
        <w:pStyle w:val="EndNoteBibliography"/>
        <w:spacing w:after="240"/>
        <w:ind w:left="720" w:hanging="720"/>
        <w:rPr>
          <w:szCs w:val="24"/>
        </w:rPr>
      </w:pPr>
      <w:r w:rsidRPr="00DE0F43">
        <w:rPr>
          <w:szCs w:val="24"/>
        </w:rPr>
        <w:t xml:space="preserve">Kautz, K., &amp; Åby Larsen, E. (2000). Diffusion theory and practice : Disseminating quality management and software process improvement innovations. </w:t>
      </w:r>
      <w:r w:rsidRPr="00DE0F43">
        <w:rPr>
          <w:i/>
          <w:szCs w:val="24"/>
        </w:rPr>
        <w:t>Information Technology &amp; People</w:t>
      </w:r>
      <w:r w:rsidRPr="00DE0F43">
        <w:rPr>
          <w:szCs w:val="24"/>
        </w:rPr>
        <w:t>,</w:t>
      </w:r>
      <w:r w:rsidRPr="00DE0F43">
        <w:rPr>
          <w:i/>
          <w:szCs w:val="24"/>
        </w:rPr>
        <w:t xml:space="preserve"> 13</w:t>
      </w:r>
      <w:r w:rsidRPr="00DE0F43">
        <w:rPr>
          <w:szCs w:val="24"/>
        </w:rPr>
        <w:t xml:space="preserve">(1), 11-26. </w:t>
      </w:r>
      <w:r w:rsidRPr="001C56A3">
        <w:rPr>
          <w:szCs w:val="24"/>
        </w:rPr>
        <w:t>https://doi.org/10.1108/09593840010312726</w:t>
      </w:r>
      <w:r w:rsidRPr="00DE0F43">
        <w:rPr>
          <w:szCs w:val="24"/>
        </w:rPr>
        <w:t xml:space="preserve"> </w:t>
      </w:r>
    </w:p>
    <w:p w14:paraId="1EB091A3" w14:textId="04601BE8" w:rsidR="00AD5D3F" w:rsidRPr="00DE0F43" w:rsidRDefault="00AD5D3F" w:rsidP="00AD5D3F">
      <w:pPr>
        <w:pStyle w:val="EndNoteBibliography"/>
        <w:spacing w:after="240"/>
        <w:ind w:left="720" w:hanging="720"/>
        <w:rPr>
          <w:szCs w:val="24"/>
        </w:rPr>
      </w:pPr>
      <w:r w:rsidRPr="00DE0F43">
        <w:rPr>
          <w:szCs w:val="24"/>
        </w:rPr>
        <w:t xml:space="preserve">Kautz, K., Madsen, S., &amp; Nørbjerg, J. (2007). Persistent problems and practices in information systems development </w:t>
      </w:r>
      <w:r w:rsidRPr="00DE0F43">
        <w:rPr>
          <w:i/>
          <w:szCs w:val="24"/>
        </w:rPr>
        <w:t>Information Systems Journal</w:t>
      </w:r>
      <w:r w:rsidRPr="00DE0F43">
        <w:rPr>
          <w:szCs w:val="24"/>
        </w:rPr>
        <w:t>,</w:t>
      </w:r>
      <w:r w:rsidRPr="00DE0F43">
        <w:rPr>
          <w:i/>
          <w:szCs w:val="24"/>
        </w:rPr>
        <w:t xml:space="preserve"> 17</w:t>
      </w:r>
      <w:r w:rsidRPr="00DE0F43">
        <w:rPr>
          <w:szCs w:val="24"/>
        </w:rPr>
        <w:t xml:space="preserve">(3), 217-239. </w:t>
      </w:r>
      <w:r w:rsidRPr="001C56A3">
        <w:rPr>
          <w:szCs w:val="24"/>
        </w:rPr>
        <w:t>https://doi.org/10.1111/j.1365-2575.2007.00222.x</w:t>
      </w:r>
      <w:r w:rsidRPr="00DE0F43">
        <w:rPr>
          <w:szCs w:val="24"/>
        </w:rPr>
        <w:t xml:space="preserve"> </w:t>
      </w:r>
    </w:p>
    <w:p w14:paraId="76CFD6C1" w14:textId="77777777" w:rsidR="00AD5D3F" w:rsidRPr="00DE0F43" w:rsidRDefault="00AD5D3F" w:rsidP="00AD5D3F">
      <w:pPr>
        <w:pStyle w:val="EndNoteBibliography"/>
        <w:spacing w:after="240"/>
        <w:ind w:left="720" w:hanging="720"/>
        <w:rPr>
          <w:szCs w:val="24"/>
        </w:rPr>
      </w:pPr>
      <w:r w:rsidRPr="00DE0F43">
        <w:rPr>
          <w:szCs w:val="24"/>
        </w:rPr>
        <w:t xml:space="preserve">Kettinger, W. J., &amp; Yuan, L. (2010). The infological equation extended: towards conceptual clarity in the relationship between data, information and knowledge [Opinion]. </w:t>
      </w:r>
      <w:r w:rsidRPr="00DE0F43">
        <w:rPr>
          <w:i/>
          <w:szCs w:val="24"/>
        </w:rPr>
        <w:t>European Journal of Information Systems</w:t>
      </w:r>
      <w:r w:rsidRPr="00DE0F43">
        <w:rPr>
          <w:szCs w:val="24"/>
        </w:rPr>
        <w:t>,</w:t>
      </w:r>
      <w:r w:rsidRPr="00DE0F43">
        <w:rPr>
          <w:i/>
          <w:szCs w:val="24"/>
        </w:rPr>
        <w:t xml:space="preserve"> 19</w:t>
      </w:r>
      <w:r w:rsidRPr="00DE0F43">
        <w:rPr>
          <w:szCs w:val="24"/>
        </w:rPr>
        <w:t xml:space="preserve">(4), 409-421. </w:t>
      </w:r>
      <w:r w:rsidRPr="001C56A3">
        <w:rPr>
          <w:szCs w:val="24"/>
        </w:rPr>
        <w:t>https://doi.org/10.1057/ejis.2010.25</w:t>
      </w:r>
      <w:r w:rsidRPr="00DE0F43">
        <w:rPr>
          <w:szCs w:val="24"/>
        </w:rPr>
        <w:t xml:space="preserve"> </w:t>
      </w:r>
    </w:p>
    <w:p w14:paraId="1E6EA154" w14:textId="761B3DB0" w:rsidR="00AD5D3F" w:rsidRPr="00DE0F43" w:rsidRDefault="00AD5D3F" w:rsidP="00AD5D3F">
      <w:pPr>
        <w:pStyle w:val="EndNoteBibliography"/>
        <w:spacing w:after="240"/>
        <w:ind w:left="720" w:hanging="720"/>
        <w:rPr>
          <w:szCs w:val="24"/>
        </w:rPr>
      </w:pPr>
      <w:r w:rsidRPr="00DE0F43">
        <w:rPr>
          <w:szCs w:val="24"/>
        </w:rPr>
        <w:t xml:space="preserve">Khakurel, J., Melkas, H., &amp; Porras, J. (2018). Tapping into the wearable device revolution in the work environment: a systematic review </w:t>
      </w:r>
      <w:r w:rsidRPr="00DE0F43">
        <w:rPr>
          <w:i/>
          <w:szCs w:val="24"/>
        </w:rPr>
        <w:t>Information Technology &amp; People</w:t>
      </w:r>
      <w:r w:rsidRPr="00DE0F43">
        <w:rPr>
          <w:szCs w:val="24"/>
        </w:rPr>
        <w:t>,</w:t>
      </w:r>
      <w:r w:rsidRPr="00DE0F43">
        <w:rPr>
          <w:i/>
          <w:szCs w:val="24"/>
        </w:rPr>
        <w:t xml:space="preserve"> 31</w:t>
      </w:r>
      <w:r w:rsidRPr="00DE0F43">
        <w:rPr>
          <w:szCs w:val="24"/>
        </w:rPr>
        <w:t xml:space="preserve">(3), 791-818. </w:t>
      </w:r>
      <w:r w:rsidRPr="001C56A3">
        <w:rPr>
          <w:szCs w:val="24"/>
        </w:rPr>
        <w:t>https://doi.org/10.1108/ITP-03-2017-0076</w:t>
      </w:r>
      <w:r w:rsidRPr="00DE0F43">
        <w:rPr>
          <w:szCs w:val="24"/>
        </w:rPr>
        <w:t xml:space="preserve"> </w:t>
      </w:r>
    </w:p>
    <w:p w14:paraId="152FC6B2" w14:textId="181085ED" w:rsidR="00AD5D3F" w:rsidRPr="00DE0F43" w:rsidRDefault="00AD5D3F" w:rsidP="00AD5D3F">
      <w:pPr>
        <w:pStyle w:val="EndNoteBibliography"/>
        <w:spacing w:after="240"/>
        <w:ind w:left="720" w:hanging="720"/>
        <w:rPr>
          <w:szCs w:val="24"/>
        </w:rPr>
      </w:pPr>
      <w:r w:rsidRPr="00DE0F43">
        <w:rPr>
          <w:szCs w:val="24"/>
        </w:rPr>
        <w:t xml:space="preserve">Kidd, J. (2011). Enacting engagement online: framing social media use for the museum. </w:t>
      </w:r>
      <w:r w:rsidRPr="00DE0F43">
        <w:rPr>
          <w:i/>
          <w:szCs w:val="24"/>
        </w:rPr>
        <w:t>Information Technology &amp; People</w:t>
      </w:r>
      <w:r w:rsidRPr="00DE0F43">
        <w:rPr>
          <w:szCs w:val="24"/>
        </w:rPr>
        <w:t>,</w:t>
      </w:r>
      <w:r w:rsidRPr="00DE0F43">
        <w:rPr>
          <w:i/>
          <w:szCs w:val="24"/>
        </w:rPr>
        <w:t xml:space="preserve"> 24</w:t>
      </w:r>
      <w:r w:rsidRPr="00DE0F43">
        <w:rPr>
          <w:szCs w:val="24"/>
        </w:rPr>
        <w:t xml:space="preserve">(1), 64. </w:t>
      </w:r>
    </w:p>
    <w:p w14:paraId="64E65076" w14:textId="0E1A81CD" w:rsidR="00AD5D3F" w:rsidRPr="00DE0F43" w:rsidRDefault="00AD5D3F" w:rsidP="00AD5D3F">
      <w:pPr>
        <w:pStyle w:val="EndNoteBibliography"/>
        <w:spacing w:after="240"/>
        <w:ind w:left="720" w:hanging="720"/>
        <w:rPr>
          <w:szCs w:val="24"/>
        </w:rPr>
      </w:pPr>
      <w:r w:rsidRPr="00DE0F43">
        <w:rPr>
          <w:szCs w:val="24"/>
        </w:rPr>
        <w:t xml:space="preserve">King, M., &amp; McAulay, L. (1997). Information technology investment evaluation: evidence and interpretations </w:t>
      </w:r>
      <w:r w:rsidRPr="00DE0F43">
        <w:rPr>
          <w:i/>
          <w:szCs w:val="24"/>
        </w:rPr>
        <w:t>Journal of Information Technology</w:t>
      </w:r>
      <w:r w:rsidRPr="00DE0F43">
        <w:rPr>
          <w:szCs w:val="24"/>
        </w:rPr>
        <w:t>,</w:t>
      </w:r>
      <w:r w:rsidRPr="00DE0F43">
        <w:rPr>
          <w:i/>
          <w:szCs w:val="24"/>
        </w:rPr>
        <w:t xml:space="preserve"> 12</w:t>
      </w:r>
      <w:r w:rsidRPr="00DE0F43">
        <w:rPr>
          <w:szCs w:val="24"/>
        </w:rPr>
        <w:t xml:space="preserve">(2), 131-143. </w:t>
      </w:r>
      <w:r w:rsidRPr="001C56A3">
        <w:rPr>
          <w:szCs w:val="24"/>
        </w:rPr>
        <w:t>https://doi.org/10.1177/026839629701200205</w:t>
      </w:r>
      <w:r w:rsidRPr="00DE0F43">
        <w:rPr>
          <w:szCs w:val="24"/>
        </w:rPr>
        <w:t xml:space="preserve"> </w:t>
      </w:r>
    </w:p>
    <w:p w14:paraId="72A9A8BD" w14:textId="29F24880" w:rsidR="00AD5D3F" w:rsidRPr="00DE0F43" w:rsidRDefault="00AD5D3F" w:rsidP="00AD5D3F">
      <w:pPr>
        <w:pStyle w:val="EndNoteBibliography"/>
        <w:spacing w:after="240"/>
        <w:ind w:left="720" w:hanging="720"/>
        <w:rPr>
          <w:szCs w:val="24"/>
        </w:rPr>
      </w:pPr>
      <w:r w:rsidRPr="00DE0F43">
        <w:rPr>
          <w:szCs w:val="24"/>
        </w:rPr>
        <w:t xml:space="preserve">Lai, F., Li, D., &amp; Hsieh, C.-T. (2012). Fighting identity theft: The coping perspective </w:t>
      </w:r>
      <w:r w:rsidRPr="00DE0F43">
        <w:rPr>
          <w:i/>
          <w:szCs w:val="24"/>
        </w:rPr>
        <w:t>Decision Support Systems</w:t>
      </w:r>
      <w:r w:rsidRPr="00DE0F43">
        <w:rPr>
          <w:szCs w:val="24"/>
        </w:rPr>
        <w:t>,</w:t>
      </w:r>
      <w:r w:rsidRPr="00DE0F43">
        <w:rPr>
          <w:i/>
          <w:szCs w:val="24"/>
        </w:rPr>
        <w:t xml:space="preserve"> 52</w:t>
      </w:r>
      <w:r w:rsidRPr="00DE0F43">
        <w:rPr>
          <w:szCs w:val="24"/>
        </w:rPr>
        <w:t xml:space="preserve">(2), 353-363. </w:t>
      </w:r>
      <w:r w:rsidRPr="001C56A3">
        <w:rPr>
          <w:szCs w:val="24"/>
        </w:rPr>
        <w:t>https://doi.org/10.1016/j.dss.2011.09.002</w:t>
      </w:r>
      <w:r w:rsidRPr="00DE0F43">
        <w:rPr>
          <w:szCs w:val="24"/>
        </w:rPr>
        <w:t xml:space="preserve"> </w:t>
      </w:r>
    </w:p>
    <w:p w14:paraId="71BB4DBF" w14:textId="4ED424B9" w:rsidR="00AD5D3F" w:rsidRPr="00DE0F43" w:rsidRDefault="00AD5D3F" w:rsidP="00AD5D3F">
      <w:pPr>
        <w:pStyle w:val="EndNoteBibliography"/>
        <w:spacing w:after="240"/>
        <w:ind w:left="720" w:hanging="720"/>
        <w:rPr>
          <w:szCs w:val="24"/>
        </w:rPr>
      </w:pPr>
      <w:r w:rsidRPr="00DE0F43">
        <w:rPr>
          <w:szCs w:val="24"/>
        </w:rPr>
        <w:t xml:space="preserve">Lederer, A. L., &amp; Mendelow, A. L. (1990). The Impact of the Environment on the Management of Information Systems </w:t>
      </w:r>
      <w:r w:rsidRPr="00DE0F43">
        <w:rPr>
          <w:i/>
          <w:szCs w:val="24"/>
        </w:rPr>
        <w:t>Information Systems Research</w:t>
      </w:r>
      <w:r w:rsidRPr="00DE0F43">
        <w:rPr>
          <w:szCs w:val="24"/>
        </w:rPr>
        <w:t>,</w:t>
      </w:r>
      <w:r w:rsidRPr="00DE0F43">
        <w:rPr>
          <w:i/>
          <w:szCs w:val="24"/>
        </w:rPr>
        <w:t xml:space="preserve"> 1</w:t>
      </w:r>
      <w:r w:rsidRPr="00DE0F43">
        <w:rPr>
          <w:szCs w:val="24"/>
        </w:rPr>
        <w:t xml:space="preserve">(2), 205-222. </w:t>
      </w:r>
      <w:r w:rsidRPr="001C56A3">
        <w:rPr>
          <w:szCs w:val="24"/>
        </w:rPr>
        <w:t>https://doi.org/10.1287/isre.1.2.205</w:t>
      </w:r>
      <w:r w:rsidRPr="00DE0F43">
        <w:rPr>
          <w:szCs w:val="24"/>
        </w:rPr>
        <w:t xml:space="preserve"> </w:t>
      </w:r>
    </w:p>
    <w:p w14:paraId="39A29897" w14:textId="77777777" w:rsidR="00AD5D3F" w:rsidRPr="00DE0F43" w:rsidRDefault="00AD5D3F" w:rsidP="00AD5D3F">
      <w:pPr>
        <w:pStyle w:val="EndNoteBibliography"/>
        <w:spacing w:after="240"/>
        <w:ind w:left="720" w:hanging="720"/>
        <w:rPr>
          <w:szCs w:val="24"/>
        </w:rPr>
      </w:pPr>
      <w:r w:rsidRPr="00DE0F43">
        <w:rPr>
          <w:szCs w:val="24"/>
        </w:rPr>
        <w:t xml:space="preserve">Lee, J. S., &amp; Keil, M. (2018). The effects of relative and criticism-based performance appraisals on task-level escalation in an IT project: a laboratory experiment. </w:t>
      </w:r>
      <w:r w:rsidRPr="00DE0F43">
        <w:rPr>
          <w:i/>
          <w:szCs w:val="24"/>
        </w:rPr>
        <w:t>European Journal of Information Systems</w:t>
      </w:r>
      <w:r w:rsidRPr="00DE0F43">
        <w:rPr>
          <w:szCs w:val="24"/>
        </w:rPr>
        <w:t>,</w:t>
      </w:r>
      <w:r w:rsidRPr="00DE0F43">
        <w:rPr>
          <w:i/>
          <w:szCs w:val="24"/>
        </w:rPr>
        <w:t xml:space="preserve"> 27</w:t>
      </w:r>
      <w:r w:rsidRPr="00DE0F43">
        <w:rPr>
          <w:szCs w:val="24"/>
        </w:rPr>
        <w:t xml:space="preserve">(5), 551-569. </w:t>
      </w:r>
    </w:p>
    <w:p w14:paraId="2DC4AA9B" w14:textId="3B91BF53" w:rsidR="00AD5D3F" w:rsidRPr="00DE0F43" w:rsidRDefault="00AD5D3F" w:rsidP="00AD5D3F">
      <w:pPr>
        <w:pStyle w:val="EndNoteBibliography"/>
        <w:spacing w:after="240"/>
        <w:ind w:left="720" w:hanging="720"/>
        <w:rPr>
          <w:szCs w:val="24"/>
        </w:rPr>
      </w:pPr>
      <w:r w:rsidRPr="00DE0F43">
        <w:rPr>
          <w:szCs w:val="24"/>
        </w:rPr>
        <w:t xml:space="preserve">Lee, Y.-K., Chang, C.-T., Lin, Y., &amp; Cheng, Z.-H. (2014). The dark side of smartphone usage: Psychological traits, compulsive behavior and technostress </w:t>
      </w:r>
      <w:r w:rsidRPr="00DE0F43">
        <w:rPr>
          <w:i/>
          <w:szCs w:val="24"/>
        </w:rPr>
        <w:t>Computers in Human Behavior</w:t>
      </w:r>
      <w:r w:rsidRPr="00DE0F43">
        <w:rPr>
          <w:szCs w:val="24"/>
        </w:rPr>
        <w:t>,</w:t>
      </w:r>
      <w:r w:rsidRPr="00DE0F43">
        <w:rPr>
          <w:i/>
          <w:szCs w:val="24"/>
        </w:rPr>
        <w:t xml:space="preserve"> 31</w:t>
      </w:r>
      <w:r w:rsidRPr="00DE0F43">
        <w:rPr>
          <w:szCs w:val="24"/>
        </w:rPr>
        <w:t xml:space="preserve">, 373-383. </w:t>
      </w:r>
      <w:r w:rsidRPr="001C56A3">
        <w:rPr>
          <w:szCs w:val="24"/>
        </w:rPr>
        <w:t>https://doi.org/10.1016/j.chb.2013.10.047</w:t>
      </w:r>
      <w:r w:rsidRPr="00DE0F43">
        <w:rPr>
          <w:szCs w:val="24"/>
        </w:rPr>
        <w:t xml:space="preserve"> </w:t>
      </w:r>
    </w:p>
    <w:p w14:paraId="6CD1B64D" w14:textId="61659F21" w:rsidR="00AD5D3F" w:rsidRPr="00DE0F43" w:rsidRDefault="00AD5D3F" w:rsidP="00AD5D3F">
      <w:pPr>
        <w:pStyle w:val="EndNoteBibliography"/>
        <w:spacing w:after="240"/>
        <w:ind w:left="720" w:hanging="720"/>
        <w:rPr>
          <w:szCs w:val="24"/>
        </w:rPr>
      </w:pPr>
      <w:r w:rsidRPr="00DE0F43">
        <w:rPr>
          <w:szCs w:val="24"/>
        </w:rPr>
        <w:t xml:space="preserve">Lee, Y. (2011). Understanding anti-plagiarism software adoption: An extended protection motivation theory perspective </w:t>
      </w:r>
      <w:r w:rsidRPr="00DE0F43">
        <w:rPr>
          <w:i/>
          <w:szCs w:val="24"/>
        </w:rPr>
        <w:t>Decision Support Systems</w:t>
      </w:r>
      <w:r w:rsidRPr="00DE0F43">
        <w:rPr>
          <w:szCs w:val="24"/>
        </w:rPr>
        <w:t>,</w:t>
      </w:r>
      <w:r w:rsidRPr="00DE0F43">
        <w:rPr>
          <w:i/>
          <w:szCs w:val="24"/>
        </w:rPr>
        <w:t xml:space="preserve"> 50</w:t>
      </w:r>
      <w:r w:rsidRPr="00DE0F43">
        <w:rPr>
          <w:szCs w:val="24"/>
        </w:rPr>
        <w:t xml:space="preserve">(2), 361-369. </w:t>
      </w:r>
      <w:r w:rsidRPr="001C56A3">
        <w:rPr>
          <w:szCs w:val="24"/>
        </w:rPr>
        <w:t>https://doi.org/10.1016/j.dss.2010.07.009</w:t>
      </w:r>
      <w:r w:rsidRPr="00DE0F43">
        <w:rPr>
          <w:szCs w:val="24"/>
        </w:rPr>
        <w:t xml:space="preserve"> </w:t>
      </w:r>
    </w:p>
    <w:p w14:paraId="444B9871" w14:textId="77777777" w:rsidR="00AD5D3F" w:rsidRPr="00DE0F43" w:rsidRDefault="00AD5D3F" w:rsidP="00AD5D3F">
      <w:pPr>
        <w:pStyle w:val="EndNoteBibliography"/>
        <w:spacing w:after="240"/>
        <w:ind w:left="720" w:hanging="720"/>
        <w:rPr>
          <w:szCs w:val="24"/>
        </w:rPr>
      </w:pPr>
      <w:r w:rsidRPr="00DE0F43">
        <w:rPr>
          <w:szCs w:val="24"/>
        </w:rPr>
        <w:t xml:space="preserve">Lee, Y., &amp; Chen, A. N. (2011). Usability design and psychological ownership of a virtual world. </w:t>
      </w:r>
      <w:r w:rsidRPr="00DE0F43">
        <w:rPr>
          <w:i/>
          <w:szCs w:val="24"/>
        </w:rPr>
        <w:t>Journal of Management Information Systems</w:t>
      </w:r>
      <w:r w:rsidRPr="00DE0F43">
        <w:rPr>
          <w:szCs w:val="24"/>
        </w:rPr>
        <w:t>,</w:t>
      </w:r>
      <w:r w:rsidRPr="00DE0F43">
        <w:rPr>
          <w:i/>
          <w:szCs w:val="24"/>
        </w:rPr>
        <w:t xml:space="preserve"> 28</w:t>
      </w:r>
      <w:r w:rsidRPr="00DE0F43">
        <w:rPr>
          <w:szCs w:val="24"/>
        </w:rPr>
        <w:t xml:space="preserve">(3), 269-308. </w:t>
      </w:r>
    </w:p>
    <w:p w14:paraId="2323F341" w14:textId="129695E0" w:rsidR="00AD5D3F" w:rsidRPr="00DE0F43" w:rsidRDefault="00AD5D3F" w:rsidP="00AD5D3F">
      <w:pPr>
        <w:pStyle w:val="EndNoteBibliography"/>
        <w:spacing w:after="240"/>
        <w:ind w:left="720" w:hanging="720"/>
        <w:rPr>
          <w:szCs w:val="24"/>
        </w:rPr>
      </w:pPr>
      <w:r w:rsidRPr="00DE0F43">
        <w:rPr>
          <w:szCs w:val="24"/>
        </w:rPr>
        <w:lastRenderedPageBreak/>
        <w:t xml:space="preserve">Lee, Y., Chen, A. N. K., &amp; Ilie, V. (2012). Can online wait be managed? The effect of filler interfaces and presentation modes on perceived waiting time online </w:t>
      </w:r>
      <w:r w:rsidRPr="00DE0F43">
        <w:rPr>
          <w:i/>
          <w:szCs w:val="24"/>
        </w:rPr>
        <w:t>MIS Quarterly</w:t>
      </w:r>
      <w:r w:rsidRPr="00DE0F43">
        <w:rPr>
          <w:szCs w:val="24"/>
        </w:rPr>
        <w:t>,</w:t>
      </w:r>
      <w:r w:rsidRPr="00DE0F43">
        <w:rPr>
          <w:i/>
          <w:szCs w:val="24"/>
        </w:rPr>
        <w:t xml:space="preserve"> 36</w:t>
      </w:r>
      <w:r w:rsidRPr="00DE0F43">
        <w:rPr>
          <w:szCs w:val="24"/>
        </w:rPr>
        <w:t xml:space="preserve">(2), 365-394. </w:t>
      </w:r>
      <w:r w:rsidRPr="001C56A3">
        <w:rPr>
          <w:szCs w:val="24"/>
        </w:rPr>
        <w:t>https://doi.org/10.2307/41703460</w:t>
      </w:r>
      <w:r w:rsidRPr="00DE0F43">
        <w:rPr>
          <w:szCs w:val="24"/>
        </w:rPr>
        <w:t xml:space="preserve"> </w:t>
      </w:r>
    </w:p>
    <w:p w14:paraId="3537D40A" w14:textId="36006088" w:rsidR="00AD5D3F" w:rsidRPr="00DE0F43" w:rsidRDefault="00AD5D3F" w:rsidP="00AD5D3F">
      <w:pPr>
        <w:pStyle w:val="EndNoteBibliography"/>
        <w:spacing w:after="240"/>
        <w:ind w:left="720" w:hanging="720"/>
        <w:rPr>
          <w:szCs w:val="24"/>
        </w:rPr>
      </w:pPr>
      <w:r w:rsidRPr="00DE0F43">
        <w:rPr>
          <w:szCs w:val="24"/>
        </w:rPr>
        <w:t xml:space="preserve">Lee, Y., &amp; Kozar, K. A. (2009). Designing usable online stores: A landscape preference perspective </w:t>
      </w:r>
      <w:r w:rsidRPr="00DE0F43">
        <w:rPr>
          <w:i/>
          <w:szCs w:val="24"/>
        </w:rPr>
        <w:t>Information &amp; Management</w:t>
      </w:r>
      <w:r w:rsidRPr="00DE0F43">
        <w:rPr>
          <w:szCs w:val="24"/>
        </w:rPr>
        <w:t>,</w:t>
      </w:r>
      <w:r w:rsidRPr="00DE0F43">
        <w:rPr>
          <w:i/>
          <w:szCs w:val="24"/>
        </w:rPr>
        <w:t xml:space="preserve"> 46</w:t>
      </w:r>
      <w:r w:rsidRPr="00DE0F43">
        <w:rPr>
          <w:szCs w:val="24"/>
        </w:rPr>
        <w:t xml:space="preserve">(1), 31-41. </w:t>
      </w:r>
      <w:r w:rsidRPr="001C56A3">
        <w:rPr>
          <w:szCs w:val="24"/>
        </w:rPr>
        <w:t>https://doi.org/10.1016/j.im.2008.11.002</w:t>
      </w:r>
      <w:r w:rsidRPr="00DE0F43">
        <w:rPr>
          <w:szCs w:val="24"/>
        </w:rPr>
        <w:t xml:space="preserve"> </w:t>
      </w:r>
    </w:p>
    <w:p w14:paraId="39CE4BCA" w14:textId="4784170D" w:rsidR="00AD5D3F" w:rsidRPr="00DE0F43" w:rsidRDefault="00AD5D3F" w:rsidP="00AD5D3F">
      <w:pPr>
        <w:pStyle w:val="EndNoteBibliography"/>
        <w:spacing w:after="240"/>
        <w:ind w:left="720" w:hanging="720"/>
        <w:rPr>
          <w:szCs w:val="24"/>
        </w:rPr>
      </w:pPr>
      <w:r w:rsidRPr="00DE0F43">
        <w:rPr>
          <w:szCs w:val="24"/>
        </w:rPr>
        <w:t xml:space="preserve">Lee, Y., &amp; Larsen, K. R. (2009). Threat or coping appraisal: determinants of SMB executives' decision to adopt anti-malware software </w:t>
      </w:r>
      <w:r w:rsidRPr="00DE0F43">
        <w:rPr>
          <w:i/>
          <w:szCs w:val="24"/>
        </w:rPr>
        <w:t>European Journal of Information Systems</w:t>
      </w:r>
      <w:r w:rsidRPr="00DE0F43">
        <w:rPr>
          <w:szCs w:val="24"/>
        </w:rPr>
        <w:t>,</w:t>
      </w:r>
      <w:r w:rsidRPr="00DE0F43">
        <w:rPr>
          <w:i/>
          <w:szCs w:val="24"/>
        </w:rPr>
        <w:t xml:space="preserve"> 18</w:t>
      </w:r>
      <w:r w:rsidRPr="00DE0F43">
        <w:rPr>
          <w:szCs w:val="24"/>
        </w:rPr>
        <w:t xml:space="preserve">(2), 177-187. </w:t>
      </w:r>
      <w:r w:rsidRPr="001C56A3">
        <w:rPr>
          <w:szCs w:val="24"/>
        </w:rPr>
        <w:t>https://doi.org/10.1057/ejis.2009.11</w:t>
      </w:r>
      <w:r w:rsidRPr="00DE0F43">
        <w:rPr>
          <w:szCs w:val="24"/>
        </w:rPr>
        <w:t xml:space="preserve"> </w:t>
      </w:r>
    </w:p>
    <w:p w14:paraId="3A3E5B27" w14:textId="4CEE8906" w:rsidR="00AD5D3F" w:rsidRPr="00DE0F43" w:rsidRDefault="00AD5D3F" w:rsidP="00AD5D3F">
      <w:pPr>
        <w:pStyle w:val="EndNoteBibliography"/>
        <w:spacing w:after="240"/>
        <w:ind w:left="720" w:hanging="720"/>
        <w:rPr>
          <w:szCs w:val="24"/>
        </w:rPr>
      </w:pPr>
      <w:r w:rsidRPr="00DE0F43">
        <w:rPr>
          <w:szCs w:val="24"/>
        </w:rPr>
        <w:t xml:space="preserve">Lesiuk, T. L. (2000). The effect of music listening on a computer programming task. </w:t>
      </w:r>
      <w:r w:rsidRPr="00DE0F43">
        <w:rPr>
          <w:i/>
          <w:szCs w:val="24"/>
        </w:rPr>
        <w:t>Journal of Computer Information Systems</w:t>
      </w:r>
      <w:r w:rsidRPr="00DE0F43">
        <w:rPr>
          <w:szCs w:val="24"/>
        </w:rPr>
        <w:t>,</w:t>
      </w:r>
      <w:r w:rsidRPr="00DE0F43">
        <w:rPr>
          <w:i/>
          <w:szCs w:val="24"/>
        </w:rPr>
        <w:t xml:space="preserve"> 40</w:t>
      </w:r>
      <w:r w:rsidRPr="00DE0F43">
        <w:rPr>
          <w:szCs w:val="24"/>
        </w:rPr>
        <w:t xml:space="preserve">(3), 50-57. </w:t>
      </w:r>
    </w:p>
    <w:p w14:paraId="053BA7AF" w14:textId="317518CD" w:rsidR="00AD5D3F" w:rsidRPr="00DE0F43" w:rsidRDefault="00AD5D3F" w:rsidP="00AD5D3F">
      <w:pPr>
        <w:pStyle w:val="EndNoteBibliography"/>
        <w:spacing w:after="240"/>
        <w:ind w:left="720" w:hanging="720"/>
        <w:rPr>
          <w:szCs w:val="24"/>
        </w:rPr>
      </w:pPr>
      <w:r w:rsidRPr="00DE0F43">
        <w:rPr>
          <w:szCs w:val="24"/>
        </w:rPr>
        <w:t xml:space="preserve">Li, H., Luo, X., Zhang, J., &amp; Xu, H. (2017). Resolving the privacy paradox: Toward a cognitive appraisal and emotion approach to online privacy behaviors </w:t>
      </w:r>
      <w:r w:rsidRPr="00DE0F43">
        <w:rPr>
          <w:i/>
          <w:szCs w:val="24"/>
        </w:rPr>
        <w:t>Information &amp; Management</w:t>
      </w:r>
      <w:r w:rsidRPr="00DE0F43">
        <w:rPr>
          <w:szCs w:val="24"/>
        </w:rPr>
        <w:t>,</w:t>
      </w:r>
      <w:r w:rsidRPr="00DE0F43">
        <w:rPr>
          <w:i/>
          <w:szCs w:val="24"/>
        </w:rPr>
        <w:t xml:space="preserve"> 54</w:t>
      </w:r>
      <w:r w:rsidRPr="00DE0F43">
        <w:rPr>
          <w:szCs w:val="24"/>
        </w:rPr>
        <w:t xml:space="preserve">(8), 1012-1022. </w:t>
      </w:r>
      <w:r w:rsidRPr="001C56A3">
        <w:rPr>
          <w:szCs w:val="24"/>
        </w:rPr>
        <w:t>https://doi.org/10.1016/j.im.2017.02.005</w:t>
      </w:r>
      <w:r w:rsidRPr="00DE0F43">
        <w:rPr>
          <w:szCs w:val="24"/>
        </w:rPr>
        <w:t xml:space="preserve"> </w:t>
      </w:r>
    </w:p>
    <w:p w14:paraId="5C9CA71C" w14:textId="760B804C" w:rsidR="00AD5D3F" w:rsidRPr="00DE0F43" w:rsidRDefault="00AD5D3F" w:rsidP="00AD5D3F">
      <w:pPr>
        <w:pStyle w:val="EndNoteBibliography"/>
        <w:spacing w:after="240"/>
        <w:ind w:left="720" w:hanging="720"/>
        <w:rPr>
          <w:szCs w:val="24"/>
        </w:rPr>
      </w:pPr>
      <w:r w:rsidRPr="00DE0F43">
        <w:rPr>
          <w:szCs w:val="24"/>
        </w:rPr>
        <w:t xml:space="preserve">Li, X.-B., &amp; Sarkar, S. (2014). Digression and Value Concatenation to Enable Privacy-Preserving Regression. </w:t>
      </w:r>
      <w:r w:rsidRPr="00DE0F43">
        <w:rPr>
          <w:i/>
          <w:szCs w:val="24"/>
        </w:rPr>
        <w:t>MIS Quarterly</w:t>
      </w:r>
      <w:r w:rsidRPr="00DE0F43">
        <w:rPr>
          <w:szCs w:val="24"/>
        </w:rPr>
        <w:t>,</w:t>
      </w:r>
      <w:r w:rsidRPr="00DE0F43">
        <w:rPr>
          <w:i/>
          <w:szCs w:val="24"/>
        </w:rPr>
        <w:t xml:space="preserve"> 38</w:t>
      </w:r>
      <w:r w:rsidRPr="00DE0F43">
        <w:rPr>
          <w:szCs w:val="24"/>
        </w:rPr>
        <w:t xml:space="preserve">(3), 679-698. </w:t>
      </w:r>
    </w:p>
    <w:p w14:paraId="00C3C267" w14:textId="74454A75" w:rsidR="00AD5D3F" w:rsidRPr="00DE0F43" w:rsidRDefault="00AD5D3F" w:rsidP="00AD5D3F">
      <w:pPr>
        <w:pStyle w:val="EndNoteBibliography"/>
        <w:spacing w:after="240"/>
        <w:ind w:left="720" w:hanging="720"/>
        <w:rPr>
          <w:szCs w:val="24"/>
        </w:rPr>
      </w:pPr>
      <w:r w:rsidRPr="00DE0F43">
        <w:rPr>
          <w:szCs w:val="24"/>
        </w:rPr>
        <w:t xml:space="preserve">Li, Y.-M., &amp; Lai, C.-Y. (2014). A social appraisal mechanism for online purchase decision support in the micro-blogosphere </w:t>
      </w:r>
      <w:r w:rsidRPr="00DE0F43">
        <w:rPr>
          <w:i/>
          <w:szCs w:val="24"/>
        </w:rPr>
        <w:t>Decision Support Systems</w:t>
      </w:r>
      <w:r w:rsidRPr="00DE0F43">
        <w:rPr>
          <w:szCs w:val="24"/>
        </w:rPr>
        <w:t>,</w:t>
      </w:r>
      <w:r w:rsidRPr="00DE0F43">
        <w:rPr>
          <w:i/>
          <w:szCs w:val="24"/>
        </w:rPr>
        <w:t xml:space="preserve"> 59</w:t>
      </w:r>
      <w:r w:rsidRPr="00DE0F43">
        <w:rPr>
          <w:szCs w:val="24"/>
        </w:rPr>
        <w:t xml:space="preserve">, 190-205. </w:t>
      </w:r>
      <w:r w:rsidRPr="001C56A3">
        <w:rPr>
          <w:szCs w:val="24"/>
        </w:rPr>
        <w:t>https://doi.org/10.1016/j.dss.2013.11.007</w:t>
      </w:r>
      <w:r w:rsidRPr="00DE0F43">
        <w:rPr>
          <w:szCs w:val="24"/>
        </w:rPr>
        <w:t xml:space="preserve"> </w:t>
      </w:r>
    </w:p>
    <w:p w14:paraId="7105AC1A" w14:textId="77777777" w:rsidR="00AD5D3F" w:rsidRPr="00DE0F43" w:rsidRDefault="00AD5D3F" w:rsidP="00AD5D3F">
      <w:pPr>
        <w:pStyle w:val="EndNoteBibliography"/>
        <w:spacing w:after="240"/>
        <w:ind w:left="720" w:hanging="720"/>
        <w:rPr>
          <w:szCs w:val="24"/>
        </w:rPr>
      </w:pPr>
      <w:r w:rsidRPr="00DE0F43">
        <w:rPr>
          <w:szCs w:val="24"/>
        </w:rPr>
        <w:t xml:space="preserve">Li, Y. (2012). Theories in online information privacy research: A critical review and an integrated framework. </w:t>
      </w:r>
      <w:r w:rsidRPr="00DE0F43">
        <w:rPr>
          <w:i/>
          <w:szCs w:val="24"/>
        </w:rPr>
        <w:t>Decision Support Systems</w:t>
      </w:r>
      <w:r w:rsidRPr="00DE0F43">
        <w:rPr>
          <w:szCs w:val="24"/>
        </w:rPr>
        <w:t>,</w:t>
      </w:r>
      <w:r w:rsidRPr="00DE0F43">
        <w:rPr>
          <w:i/>
          <w:szCs w:val="24"/>
        </w:rPr>
        <w:t xml:space="preserve"> 54</w:t>
      </w:r>
      <w:r w:rsidRPr="00DE0F43">
        <w:rPr>
          <w:szCs w:val="24"/>
        </w:rPr>
        <w:t xml:space="preserve">(1), 471-481. </w:t>
      </w:r>
    </w:p>
    <w:p w14:paraId="01A8549E" w14:textId="2146707A" w:rsidR="00AD5D3F" w:rsidRPr="00DE0F43" w:rsidRDefault="00AD5D3F" w:rsidP="00AD5D3F">
      <w:pPr>
        <w:pStyle w:val="EndNoteBibliography"/>
        <w:spacing w:after="240"/>
        <w:ind w:left="720" w:hanging="720"/>
        <w:rPr>
          <w:szCs w:val="24"/>
        </w:rPr>
      </w:pPr>
      <w:r w:rsidRPr="00DE0F43">
        <w:rPr>
          <w:szCs w:val="24"/>
        </w:rPr>
        <w:t xml:space="preserve">Li, Y., Yazdanmehr, A., Wang, J., &amp; Rao, H. R. (2019). Responding to identity theft: A victimization perspective </w:t>
      </w:r>
      <w:r w:rsidRPr="00DE0F43">
        <w:rPr>
          <w:i/>
          <w:szCs w:val="24"/>
        </w:rPr>
        <w:t>Decision Support Systems</w:t>
      </w:r>
      <w:r w:rsidRPr="00DE0F43">
        <w:rPr>
          <w:szCs w:val="24"/>
        </w:rPr>
        <w:t>,</w:t>
      </w:r>
      <w:r w:rsidRPr="00DE0F43">
        <w:rPr>
          <w:i/>
          <w:szCs w:val="24"/>
        </w:rPr>
        <w:t xml:space="preserve"> 121</w:t>
      </w:r>
      <w:r w:rsidRPr="00DE0F43">
        <w:rPr>
          <w:szCs w:val="24"/>
        </w:rPr>
        <w:t xml:space="preserve">, 13-24. </w:t>
      </w:r>
      <w:r w:rsidRPr="001C56A3">
        <w:rPr>
          <w:szCs w:val="24"/>
        </w:rPr>
        <w:t>https://doi.org/10.1016/j.dss.2019.04.002</w:t>
      </w:r>
      <w:r w:rsidRPr="00DE0F43">
        <w:rPr>
          <w:szCs w:val="24"/>
        </w:rPr>
        <w:t xml:space="preserve"> </w:t>
      </w:r>
    </w:p>
    <w:p w14:paraId="31C2D118" w14:textId="2655C978" w:rsidR="00AD5D3F" w:rsidRPr="00DE0F43" w:rsidRDefault="00AD5D3F" w:rsidP="00AD5D3F">
      <w:pPr>
        <w:pStyle w:val="EndNoteBibliography"/>
        <w:spacing w:after="240"/>
        <w:ind w:left="720" w:hanging="720"/>
        <w:rPr>
          <w:szCs w:val="24"/>
        </w:rPr>
      </w:pPr>
      <w:r w:rsidRPr="00DE0F43">
        <w:rPr>
          <w:szCs w:val="24"/>
        </w:rPr>
        <w:t xml:space="preserve">Liang, H., &amp; Xue, Y. (2009). Avoidance of Information Technology Threats: A Theoretical Perspective </w:t>
      </w:r>
      <w:r w:rsidRPr="00DE0F43">
        <w:rPr>
          <w:i/>
          <w:szCs w:val="24"/>
        </w:rPr>
        <w:t>MIS Quarterly</w:t>
      </w:r>
      <w:r w:rsidRPr="00DE0F43">
        <w:rPr>
          <w:szCs w:val="24"/>
        </w:rPr>
        <w:t>,</w:t>
      </w:r>
      <w:r w:rsidRPr="00DE0F43">
        <w:rPr>
          <w:i/>
          <w:szCs w:val="24"/>
        </w:rPr>
        <w:t xml:space="preserve"> 33</w:t>
      </w:r>
      <w:r w:rsidRPr="00DE0F43">
        <w:rPr>
          <w:szCs w:val="24"/>
        </w:rPr>
        <w:t xml:space="preserve">(1), 71-90. </w:t>
      </w:r>
      <w:r w:rsidRPr="001C56A3">
        <w:rPr>
          <w:szCs w:val="24"/>
        </w:rPr>
        <w:t>https://doi.org/10.2307/20650279</w:t>
      </w:r>
      <w:r w:rsidRPr="00DE0F43">
        <w:rPr>
          <w:szCs w:val="24"/>
        </w:rPr>
        <w:t xml:space="preserve"> </w:t>
      </w:r>
    </w:p>
    <w:p w14:paraId="19DC5931" w14:textId="4B66E234" w:rsidR="00AD5D3F" w:rsidRPr="00DE0F43" w:rsidRDefault="00AD5D3F" w:rsidP="00AD5D3F">
      <w:pPr>
        <w:pStyle w:val="EndNoteBibliography"/>
        <w:spacing w:after="240"/>
        <w:ind w:left="720" w:hanging="720"/>
        <w:rPr>
          <w:szCs w:val="24"/>
        </w:rPr>
      </w:pPr>
      <w:r w:rsidRPr="00DE0F43">
        <w:rPr>
          <w:szCs w:val="24"/>
        </w:rPr>
        <w:t xml:space="preserve">Lim, H. K., Benbasat, I., &amp; Lawrence, M. W. (2000). The Role of Multimedia in Changing First Impression Bias. </w:t>
      </w:r>
      <w:r w:rsidRPr="00DE0F43">
        <w:rPr>
          <w:i/>
          <w:szCs w:val="24"/>
        </w:rPr>
        <w:t>Information Systems Research</w:t>
      </w:r>
      <w:r w:rsidRPr="00DE0F43">
        <w:rPr>
          <w:szCs w:val="24"/>
        </w:rPr>
        <w:t>,</w:t>
      </w:r>
      <w:r w:rsidRPr="00DE0F43">
        <w:rPr>
          <w:i/>
          <w:szCs w:val="24"/>
        </w:rPr>
        <w:t xml:space="preserve"> 11</w:t>
      </w:r>
      <w:r w:rsidRPr="00DE0F43">
        <w:rPr>
          <w:szCs w:val="24"/>
        </w:rPr>
        <w:t xml:space="preserve">(2), 115. </w:t>
      </w:r>
    </w:p>
    <w:p w14:paraId="3556791E" w14:textId="441ECF91" w:rsidR="00AD5D3F" w:rsidRPr="00DE0F43" w:rsidRDefault="00AD5D3F" w:rsidP="00AD5D3F">
      <w:pPr>
        <w:pStyle w:val="EndNoteBibliography"/>
        <w:spacing w:after="240"/>
        <w:ind w:left="720" w:hanging="720"/>
        <w:rPr>
          <w:szCs w:val="24"/>
        </w:rPr>
      </w:pPr>
      <w:r w:rsidRPr="00DE0F43">
        <w:rPr>
          <w:szCs w:val="24"/>
        </w:rPr>
        <w:t xml:space="preserve">Lim, M., &amp; Yang, Y. (2015). Effects of users’ envy and shame on social comparison that occurs on social network services </w:t>
      </w:r>
      <w:r w:rsidRPr="00DE0F43">
        <w:rPr>
          <w:i/>
          <w:szCs w:val="24"/>
        </w:rPr>
        <w:t>Computers in Human Behavior</w:t>
      </w:r>
      <w:r w:rsidRPr="00DE0F43">
        <w:rPr>
          <w:szCs w:val="24"/>
        </w:rPr>
        <w:t>,</w:t>
      </w:r>
      <w:r w:rsidRPr="00DE0F43">
        <w:rPr>
          <w:i/>
          <w:szCs w:val="24"/>
        </w:rPr>
        <w:t xml:space="preserve"> 51</w:t>
      </w:r>
      <w:r w:rsidRPr="00DE0F43">
        <w:rPr>
          <w:szCs w:val="24"/>
        </w:rPr>
        <w:t xml:space="preserve">(Part A), 300-311. </w:t>
      </w:r>
      <w:r w:rsidRPr="001C56A3">
        <w:rPr>
          <w:szCs w:val="24"/>
        </w:rPr>
        <w:t>https://doi.org/10.1016/j.chb.2015.05.013</w:t>
      </w:r>
      <w:r w:rsidRPr="00DE0F43">
        <w:rPr>
          <w:szCs w:val="24"/>
        </w:rPr>
        <w:t xml:space="preserve"> </w:t>
      </w:r>
    </w:p>
    <w:p w14:paraId="51713A98" w14:textId="6D0DD8BF" w:rsidR="00AD5D3F" w:rsidRPr="00DE0F43" w:rsidRDefault="00AD5D3F" w:rsidP="00AD5D3F">
      <w:pPr>
        <w:pStyle w:val="EndNoteBibliography"/>
        <w:spacing w:after="240"/>
        <w:ind w:left="720" w:hanging="720"/>
        <w:rPr>
          <w:szCs w:val="24"/>
        </w:rPr>
      </w:pPr>
      <w:r w:rsidRPr="00DE0F43">
        <w:rPr>
          <w:szCs w:val="24"/>
        </w:rPr>
        <w:t xml:space="preserve">Lin, H., Fan, W., &amp; Chau, P. Y. K. (2014). Determinants of users’ continuance of social networking sites: A self-regulation perspective </w:t>
      </w:r>
      <w:r w:rsidRPr="00DE0F43">
        <w:rPr>
          <w:i/>
          <w:szCs w:val="24"/>
        </w:rPr>
        <w:t>Information &amp; Management</w:t>
      </w:r>
      <w:r w:rsidRPr="00DE0F43">
        <w:rPr>
          <w:szCs w:val="24"/>
        </w:rPr>
        <w:t>,</w:t>
      </w:r>
      <w:r w:rsidRPr="00DE0F43">
        <w:rPr>
          <w:i/>
          <w:szCs w:val="24"/>
        </w:rPr>
        <w:t xml:space="preserve"> 51</w:t>
      </w:r>
      <w:r w:rsidRPr="00DE0F43">
        <w:rPr>
          <w:szCs w:val="24"/>
        </w:rPr>
        <w:t xml:space="preserve">(5), 595-603. </w:t>
      </w:r>
      <w:r w:rsidRPr="001C56A3">
        <w:rPr>
          <w:szCs w:val="24"/>
        </w:rPr>
        <w:t>https://doi.org/10.1016/j.im.2014.03.010</w:t>
      </w:r>
      <w:r w:rsidRPr="00DE0F43">
        <w:rPr>
          <w:szCs w:val="24"/>
        </w:rPr>
        <w:t xml:space="preserve"> </w:t>
      </w:r>
    </w:p>
    <w:p w14:paraId="7FE1AE5F" w14:textId="474106E1" w:rsidR="00AD5D3F" w:rsidRPr="00DE0F43" w:rsidRDefault="00AD5D3F" w:rsidP="00AD5D3F">
      <w:pPr>
        <w:pStyle w:val="EndNoteBibliography"/>
        <w:spacing w:after="240"/>
        <w:ind w:left="720" w:hanging="720"/>
        <w:rPr>
          <w:szCs w:val="24"/>
        </w:rPr>
      </w:pPr>
      <w:r w:rsidRPr="00DE0F43">
        <w:rPr>
          <w:szCs w:val="24"/>
        </w:rPr>
        <w:lastRenderedPageBreak/>
        <w:t xml:space="preserve">Lin, T.-C., Hsu, J. S.-C., Cheng, H.-L., &amp; Chiu, C.-M. (2015). Exploring the relationship between receiving and offering online social support: A dual social support model </w:t>
      </w:r>
      <w:r w:rsidRPr="00DE0F43">
        <w:rPr>
          <w:i/>
          <w:szCs w:val="24"/>
        </w:rPr>
        <w:t>Information &amp; Management</w:t>
      </w:r>
      <w:r w:rsidRPr="00DE0F43">
        <w:rPr>
          <w:szCs w:val="24"/>
        </w:rPr>
        <w:t>,</w:t>
      </w:r>
      <w:r w:rsidRPr="00DE0F43">
        <w:rPr>
          <w:i/>
          <w:szCs w:val="24"/>
        </w:rPr>
        <w:t xml:space="preserve"> 52</w:t>
      </w:r>
      <w:r w:rsidRPr="00DE0F43">
        <w:rPr>
          <w:szCs w:val="24"/>
        </w:rPr>
        <w:t xml:space="preserve">(3), 371-383. </w:t>
      </w:r>
      <w:r w:rsidRPr="001C56A3">
        <w:rPr>
          <w:szCs w:val="24"/>
        </w:rPr>
        <w:t>https://doi.org/10.1016/j.im.2015.01.003</w:t>
      </w:r>
      <w:r w:rsidRPr="00DE0F43">
        <w:rPr>
          <w:szCs w:val="24"/>
        </w:rPr>
        <w:t xml:space="preserve"> </w:t>
      </w:r>
    </w:p>
    <w:p w14:paraId="0FEB703F" w14:textId="77777777" w:rsidR="00AD5D3F" w:rsidRPr="00DE0F43" w:rsidRDefault="00AD5D3F" w:rsidP="00AD5D3F">
      <w:pPr>
        <w:pStyle w:val="EndNoteBibliography"/>
        <w:spacing w:after="240"/>
        <w:ind w:left="720" w:hanging="720"/>
        <w:rPr>
          <w:szCs w:val="24"/>
        </w:rPr>
      </w:pPr>
      <w:r w:rsidRPr="00DE0F43">
        <w:rPr>
          <w:szCs w:val="24"/>
        </w:rPr>
        <w:t xml:space="preserve">Loebbecke, C., &amp; Jelassi, T. (1997). Business process redesign at CompuNet—standardizing top-quality service through IT. </w:t>
      </w:r>
      <w:r w:rsidRPr="00DE0F43">
        <w:rPr>
          <w:i/>
          <w:szCs w:val="24"/>
        </w:rPr>
        <w:t>The Journal of Strategic Information Systems</w:t>
      </w:r>
      <w:r w:rsidRPr="00DE0F43">
        <w:rPr>
          <w:szCs w:val="24"/>
        </w:rPr>
        <w:t>,</w:t>
      </w:r>
      <w:r w:rsidRPr="00DE0F43">
        <w:rPr>
          <w:i/>
          <w:szCs w:val="24"/>
        </w:rPr>
        <w:t xml:space="preserve"> 6</w:t>
      </w:r>
      <w:r w:rsidRPr="00DE0F43">
        <w:rPr>
          <w:szCs w:val="24"/>
        </w:rPr>
        <w:t xml:space="preserve">(4), 339-359. </w:t>
      </w:r>
    </w:p>
    <w:p w14:paraId="563DCC92" w14:textId="77777777" w:rsidR="00AD5D3F" w:rsidRPr="00DE0F43" w:rsidRDefault="00AD5D3F" w:rsidP="00AD5D3F">
      <w:pPr>
        <w:pStyle w:val="EndNoteBibliography"/>
        <w:spacing w:after="240"/>
        <w:ind w:left="720" w:hanging="720"/>
        <w:rPr>
          <w:szCs w:val="24"/>
        </w:rPr>
      </w:pPr>
      <w:r w:rsidRPr="00DE0F43">
        <w:rPr>
          <w:szCs w:val="24"/>
        </w:rPr>
        <w:t xml:space="preserve">Lowe, A., &amp; Locke, J. (2008). Enterprise resource planning and the post bureaucratic organization : “Formalization” as trust in the system versus “solidarity” as trust in individuals. </w:t>
      </w:r>
      <w:r w:rsidRPr="00DE0F43">
        <w:rPr>
          <w:i/>
          <w:szCs w:val="24"/>
        </w:rPr>
        <w:t>Information Technology &amp; People</w:t>
      </w:r>
      <w:r w:rsidRPr="00DE0F43">
        <w:rPr>
          <w:szCs w:val="24"/>
        </w:rPr>
        <w:t>,</w:t>
      </w:r>
      <w:r w:rsidRPr="00DE0F43">
        <w:rPr>
          <w:i/>
          <w:szCs w:val="24"/>
        </w:rPr>
        <w:t xml:space="preserve"> 21</w:t>
      </w:r>
      <w:r w:rsidRPr="00DE0F43">
        <w:rPr>
          <w:szCs w:val="24"/>
        </w:rPr>
        <w:t xml:space="preserve">(4), 375-400. </w:t>
      </w:r>
      <w:r w:rsidRPr="001C56A3">
        <w:rPr>
          <w:szCs w:val="24"/>
        </w:rPr>
        <w:t>https://doi.org/10.1108/09593840810919680</w:t>
      </w:r>
      <w:r w:rsidRPr="00DE0F43">
        <w:rPr>
          <w:szCs w:val="24"/>
        </w:rPr>
        <w:t xml:space="preserve"> </w:t>
      </w:r>
    </w:p>
    <w:p w14:paraId="1BDDD2E9" w14:textId="24B1CA5E" w:rsidR="00AD5D3F" w:rsidRPr="00DE0F43" w:rsidRDefault="00AD5D3F" w:rsidP="00AD5D3F">
      <w:pPr>
        <w:pStyle w:val="EndNoteBibliography"/>
        <w:spacing w:after="240"/>
        <w:ind w:left="720" w:hanging="720"/>
        <w:rPr>
          <w:szCs w:val="24"/>
        </w:rPr>
      </w:pPr>
      <w:r w:rsidRPr="00DE0F43">
        <w:rPr>
          <w:szCs w:val="24"/>
        </w:rPr>
        <w:t xml:space="preserve">Luqman, A., Cao, X., Ali, A., Masood, A., &amp; Yu, L. (2017). Empirical investigation of Facebook discontinues usage intentions based on SOR paradigm </w:t>
      </w:r>
      <w:r w:rsidRPr="00DE0F43">
        <w:rPr>
          <w:i/>
          <w:szCs w:val="24"/>
        </w:rPr>
        <w:t>Computers in Human Behavior</w:t>
      </w:r>
      <w:r w:rsidRPr="00DE0F43">
        <w:rPr>
          <w:szCs w:val="24"/>
        </w:rPr>
        <w:t>,</w:t>
      </w:r>
      <w:r w:rsidRPr="00DE0F43">
        <w:rPr>
          <w:i/>
          <w:szCs w:val="24"/>
        </w:rPr>
        <w:t xml:space="preserve"> 70</w:t>
      </w:r>
      <w:r w:rsidRPr="00DE0F43">
        <w:rPr>
          <w:szCs w:val="24"/>
        </w:rPr>
        <w:t xml:space="preserve">, 544-555. </w:t>
      </w:r>
      <w:r w:rsidRPr="001C56A3">
        <w:rPr>
          <w:szCs w:val="24"/>
        </w:rPr>
        <w:t>https://doi.org/10.1016/j.chb.2017.01.020</w:t>
      </w:r>
      <w:r w:rsidRPr="00DE0F43">
        <w:rPr>
          <w:szCs w:val="24"/>
        </w:rPr>
        <w:t xml:space="preserve"> </w:t>
      </w:r>
    </w:p>
    <w:p w14:paraId="27F0EE44" w14:textId="53AD4FD0" w:rsidR="00AD5D3F" w:rsidRPr="00DE0F43" w:rsidRDefault="00AD5D3F" w:rsidP="00AD5D3F">
      <w:pPr>
        <w:pStyle w:val="EndNoteBibliography"/>
        <w:spacing w:after="240"/>
        <w:ind w:left="720" w:hanging="720"/>
        <w:rPr>
          <w:szCs w:val="24"/>
        </w:rPr>
      </w:pPr>
      <w:r w:rsidRPr="00DE0F43">
        <w:rPr>
          <w:szCs w:val="24"/>
        </w:rPr>
        <w:t xml:space="preserve">Macharis, C., Turcksin, L., &amp; Lebeau, K. (2012). Multi actor multi criteria analysis (MAMCA) as a tool to support sustainable decisions: State of use </w:t>
      </w:r>
      <w:r w:rsidRPr="00DE0F43">
        <w:rPr>
          <w:i/>
          <w:szCs w:val="24"/>
        </w:rPr>
        <w:t>Decision Support Systems</w:t>
      </w:r>
      <w:r w:rsidRPr="00DE0F43">
        <w:rPr>
          <w:szCs w:val="24"/>
        </w:rPr>
        <w:t>,</w:t>
      </w:r>
      <w:r w:rsidRPr="00DE0F43">
        <w:rPr>
          <w:i/>
          <w:szCs w:val="24"/>
        </w:rPr>
        <w:t xml:space="preserve"> 54</w:t>
      </w:r>
      <w:r w:rsidRPr="00DE0F43">
        <w:rPr>
          <w:szCs w:val="24"/>
        </w:rPr>
        <w:t xml:space="preserve">(1), 610-620. </w:t>
      </w:r>
      <w:r w:rsidRPr="001C56A3">
        <w:rPr>
          <w:szCs w:val="24"/>
        </w:rPr>
        <w:t>https://doi.org/10.1016/j.dss.2012.08.008</w:t>
      </w:r>
      <w:r w:rsidRPr="00DE0F43">
        <w:rPr>
          <w:szCs w:val="24"/>
        </w:rPr>
        <w:t xml:space="preserve"> </w:t>
      </w:r>
    </w:p>
    <w:p w14:paraId="60F17454" w14:textId="3ADBCC55" w:rsidR="00AD5D3F" w:rsidRPr="00DE0F43" w:rsidRDefault="00AD5D3F" w:rsidP="00AD5D3F">
      <w:pPr>
        <w:pStyle w:val="EndNoteBibliography"/>
        <w:spacing w:after="240"/>
        <w:ind w:left="720" w:hanging="720"/>
        <w:rPr>
          <w:szCs w:val="24"/>
        </w:rPr>
      </w:pPr>
      <w:r w:rsidRPr="00DE0F43">
        <w:rPr>
          <w:szCs w:val="24"/>
        </w:rPr>
        <w:t xml:space="preserve">Mähring, M., &amp; Keil, M. (2008). Information Technology Project Escalation: A Process Model </w:t>
      </w:r>
      <w:r w:rsidRPr="00DE0F43">
        <w:rPr>
          <w:i/>
          <w:szCs w:val="24"/>
        </w:rPr>
        <w:t>Decision Sciences</w:t>
      </w:r>
      <w:r w:rsidRPr="00DE0F43">
        <w:rPr>
          <w:szCs w:val="24"/>
        </w:rPr>
        <w:t>,</w:t>
      </w:r>
      <w:r w:rsidRPr="00DE0F43">
        <w:rPr>
          <w:i/>
          <w:szCs w:val="24"/>
        </w:rPr>
        <w:t xml:space="preserve"> 39</w:t>
      </w:r>
      <w:r w:rsidRPr="00DE0F43">
        <w:rPr>
          <w:szCs w:val="24"/>
        </w:rPr>
        <w:t xml:space="preserve">(2), 239-272. </w:t>
      </w:r>
      <w:r w:rsidRPr="001C56A3">
        <w:rPr>
          <w:szCs w:val="24"/>
        </w:rPr>
        <w:t>https://doi.org/10.1111/j.1540-5915.2008.00191.x</w:t>
      </w:r>
      <w:r w:rsidRPr="00DE0F43">
        <w:rPr>
          <w:szCs w:val="24"/>
        </w:rPr>
        <w:t xml:space="preserve"> </w:t>
      </w:r>
    </w:p>
    <w:p w14:paraId="2A089B40" w14:textId="77777777" w:rsidR="00AD5D3F" w:rsidRPr="00DE0F43" w:rsidRDefault="00AD5D3F" w:rsidP="00AD5D3F">
      <w:pPr>
        <w:pStyle w:val="EndNoteBibliography"/>
        <w:spacing w:after="240"/>
        <w:ind w:left="720" w:hanging="720"/>
        <w:rPr>
          <w:szCs w:val="24"/>
        </w:rPr>
      </w:pPr>
      <w:r w:rsidRPr="00DE0F43">
        <w:rPr>
          <w:szCs w:val="24"/>
        </w:rPr>
        <w:t xml:space="preserve">Maier, C., Laumer, S., Weinert, C., &amp; Weitzel, T. (2015). The effects of technostress and switching stress on discontinued use of social networking services: a study of Facebook use. </w:t>
      </w:r>
      <w:r w:rsidRPr="00DE0F43">
        <w:rPr>
          <w:i/>
          <w:szCs w:val="24"/>
        </w:rPr>
        <w:t>Information Systems Journal</w:t>
      </w:r>
      <w:r w:rsidRPr="00DE0F43">
        <w:rPr>
          <w:szCs w:val="24"/>
        </w:rPr>
        <w:t>,</w:t>
      </w:r>
      <w:r w:rsidRPr="00DE0F43">
        <w:rPr>
          <w:i/>
          <w:szCs w:val="24"/>
        </w:rPr>
        <w:t xml:space="preserve"> 25</w:t>
      </w:r>
      <w:r w:rsidRPr="00DE0F43">
        <w:rPr>
          <w:szCs w:val="24"/>
        </w:rPr>
        <w:t xml:space="preserve">(3), 275-308. </w:t>
      </w:r>
    </w:p>
    <w:p w14:paraId="2738ACD6" w14:textId="36B99AF0" w:rsidR="00AD5D3F" w:rsidRPr="00DE0F43" w:rsidRDefault="00AD5D3F" w:rsidP="00AD5D3F">
      <w:pPr>
        <w:pStyle w:val="EndNoteBibliography"/>
        <w:spacing w:after="240"/>
        <w:ind w:left="720" w:hanging="720"/>
        <w:rPr>
          <w:szCs w:val="24"/>
        </w:rPr>
      </w:pPr>
      <w:r w:rsidRPr="00DE0F43">
        <w:rPr>
          <w:szCs w:val="24"/>
        </w:rPr>
        <w:t>Majchrzak, A. (2009). C</w:t>
      </w:r>
      <w:r w:rsidR="001C71AA">
        <w:rPr>
          <w:szCs w:val="24"/>
        </w:rPr>
        <w:t>omment</w:t>
      </w:r>
      <w:r w:rsidRPr="00DE0F43">
        <w:rPr>
          <w:szCs w:val="24"/>
        </w:rPr>
        <w:t>: W</w:t>
      </w:r>
      <w:r w:rsidR="001C71AA">
        <w:rPr>
          <w:szCs w:val="24"/>
        </w:rPr>
        <w:t>here is the theory in wikis?</w:t>
      </w:r>
      <w:r w:rsidRPr="00DE0F43">
        <w:rPr>
          <w:szCs w:val="24"/>
        </w:rPr>
        <w:t xml:space="preserve">. </w:t>
      </w:r>
      <w:r w:rsidRPr="00DE0F43">
        <w:rPr>
          <w:i/>
          <w:szCs w:val="24"/>
        </w:rPr>
        <w:t>MIS Quarterly</w:t>
      </w:r>
      <w:r w:rsidRPr="00DE0F43">
        <w:rPr>
          <w:szCs w:val="24"/>
        </w:rPr>
        <w:t>,</w:t>
      </w:r>
      <w:r w:rsidRPr="00DE0F43">
        <w:rPr>
          <w:i/>
          <w:szCs w:val="24"/>
        </w:rPr>
        <w:t xml:space="preserve"> 33</w:t>
      </w:r>
      <w:r w:rsidRPr="00DE0F43">
        <w:rPr>
          <w:szCs w:val="24"/>
        </w:rPr>
        <w:t xml:space="preserve">(1), 18-20. </w:t>
      </w:r>
      <w:r w:rsidRPr="001C56A3">
        <w:rPr>
          <w:szCs w:val="24"/>
        </w:rPr>
        <w:t>https://doi.org/10.2307/20650275</w:t>
      </w:r>
      <w:r w:rsidRPr="00DE0F43">
        <w:rPr>
          <w:szCs w:val="24"/>
        </w:rPr>
        <w:t xml:space="preserve"> </w:t>
      </w:r>
    </w:p>
    <w:p w14:paraId="444B4544" w14:textId="1D3AB6B1" w:rsidR="00AD5D3F" w:rsidRPr="00DE0F43" w:rsidRDefault="00AD5D3F" w:rsidP="00AD5D3F">
      <w:pPr>
        <w:pStyle w:val="EndNoteBibliography"/>
        <w:spacing w:after="240"/>
        <w:ind w:left="720" w:hanging="720"/>
        <w:rPr>
          <w:szCs w:val="24"/>
        </w:rPr>
      </w:pPr>
      <w:r w:rsidRPr="00DE0F43">
        <w:rPr>
          <w:szCs w:val="24"/>
        </w:rPr>
        <w:t xml:space="preserve">Marett, K., Vedadi, A., &amp; Durcikova, A. (2019). A quantitative textual analysis of three types of threat communication and subsequent maladaptive responses </w:t>
      </w:r>
      <w:r w:rsidRPr="00DE0F43">
        <w:rPr>
          <w:i/>
          <w:szCs w:val="24"/>
        </w:rPr>
        <w:t>Computers &amp; Security</w:t>
      </w:r>
      <w:r w:rsidRPr="00DE0F43">
        <w:rPr>
          <w:szCs w:val="24"/>
        </w:rPr>
        <w:t>,</w:t>
      </w:r>
      <w:r w:rsidRPr="00DE0F43">
        <w:rPr>
          <w:i/>
          <w:szCs w:val="24"/>
        </w:rPr>
        <w:t xml:space="preserve"> 80</w:t>
      </w:r>
      <w:r w:rsidRPr="00DE0F43">
        <w:rPr>
          <w:szCs w:val="24"/>
        </w:rPr>
        <w:t xml:space="preserve">, 25-35. </w:t>
      </w:r>
      <w:r w:rsidRPr="001C56A3">
        <w:rPr>
          <w:szCs w:val="24"/>
        </w:rPr>
        <w:t>https://doi.org/10.1016/j.cose.2018.09.004</w:t>
      </w:r>
      <w:r w:rsidRPr="00DE0F43">
        <w:rPr>
          <w:szCs w:val="24"/>
        </w:rPr>
        <w:t xml:space="preserve"> </w:t>
      </w:r>
    </w:p>
    <w:p w14:paraId="16AD0C09" w14:textId="58E35432" w:rsidR="00AD5D3F" w:rsidRPr="00DE0F43" w:rsidRDefault="00AD5D3F" w:rsidP="00AD5D3F">
      <w:pPr>
        <w:pStyle w:val="EndNoteBibliography"/>
        <w:spacing w:after="240"/>
        <w:ind w:left="720" w:hanging="720"/>
        <w:rPr>
          <w:szCs w:val="24"/>
        </w:rPr>
      </w:pPr>
      <w:r w:rsidRPr="00DE0F43">
        <w:rPr>
          <w:szCs w:val="24"/>
        </w:rPr>
        <w:t xml:space="preserve">Marie-Claude, B., &amp; Daniel, R. (1996). Coping with contradictions in business process re-engineering. </w:t>
      </w:r>
      <w:r w:rsidRPr="00DE0F43">
        <w:rPr>
          <w:i/>
          <w:szCs w:val="24"/>
        </w:rPr>
        <w:t>Information Technology &amp; People</w:t>
      </w:r>
      <w:r w:rsidRPr="00DE0F43">
        <w:rPr>
          <w:szCs w:val="24"/>
        </w:rPr>
        <w:t>,</w:t>
      </w:r>
      <w:r w:rsidRPr="00DE0F43">
        <w:rPr>
          <w:i/>
          <w:szCs w:val="24"/>
        </w:rPr>
        <w:t xml:space="preserve"> 9</w:t>
      </w:r>
      <w:r w:rsidRPr="00DE0F43">
        <w:rPr>
          <w:szCs w:val="24"/>
        </w:rPr>
        <w:t>(4)</w:t>
      </w:r>
      <w:r w:rsidR="001C71AA">
        <w:rPr>
          <w:szCs w:val="24"/>
        </w:rPr>
        <w:t>, 40-57</w:t>
      </w:r>
      <w:r w:rsidRPr="00DE0F43">
        <w:rPr>
          <w:szCs w:val="24"/>
        </w:rPr>
        <w:t xml:space="preserve">. </w:t>
      </w:r>
    </w:p>
    <w:p w14:paraId="07B36FF1" w14:textId="2AAB2216" w:rsidR="00AD5D3F" w:rsidRPr="00DE0F43" w:rsidRDefault="00AD5D3F" w:rsidP="00AD5D3F">
      <w:pPr>
        <w:pStyle w:val="EndNoteBibliography"/>
        <w:spacing w:after="240"/>
        <w:ind w:left="720" w:hanging="720"/>
        <w:rPr>
          <w:szCs w:val="24"/>
        </w:rPr>
      </w:pPr>
      <w:r w:rsidRPr="00DE0F43">
        <w:rPr>
          <w:szCs w:val="24"/>
        </w:rPr>
        <w:t xml:space="preserve">Mary, J. C. (1993). "How Did They Get My Name?": An Exploratory Investigation of Consumer Attitudes toward Secondary Information Use. </w:t>
      </w:r>
      <w:r w:rsidRPr="00DE0F43">
        <w:rPr>
          <w:i/>
          <w:szCs w:val="24"/>
        </w:rPr>
        <w:t>MIS Quarterly</w:t>
      </w:r>
      <w:r w:rsidRPr="00DE0F43">
        <w:rPr>
          <w:szCs w:val="24"/>
        </w:rPr>
        <w:t>,</w:t>
      </w:r>
      <w:r w:rsidRPr="00DE0F43">
        <w:rPr>
          <w:i/>
          <w:szCs w:val="24"/>
        </w:rPr>
        <w:t xml:space="preserve"> 17</w:t>
      </w:r>
      <w:r w:rsidRPr="00DE0F43">
        <w:rPr>
          <w:szCs w:val="24"/>
        </w:rPr>
        <w:t xml:space="preserve">(3), 341-363. </w:t>
      </w:r>
      <w:r w:rsidRPr="001C56A3">
        <w:rPr>
          <w:szCs w:val="24"/>
        </w:rPr>
        <w:t>https://doi.org/10.2307/249775</w:t>
      </w:r>
      <w:r w:rsidRPr="00DE0F43">
        <w:rPr>
          <w:szCs w:val="24"/>
        </w:rPr>
        <w:t xml:space="preserve"> </w:t>
      </w:r>
    </w:p>
    <w:p w14:paraId="09DA2CA6" w14:textId="77777777" w:rsidR="00AD5D3F" w:rsidRPr="00DE0F43" w:rsidRDefault="00AD5D3F" w:rsidP="00AD5D3F">
      <w:pPr>
        <w:pStyle w:val="EndNoteBibliography"/>
        <w:spacing w:after="240"/>
        <w:ind w:left="720" w:hanging="720"/>
        <w:rPr>
          <w:szCs w:val="24"/>
        </w:rPr>
      </w:pPr>
      <w:r w:rsidRPr="00DE0F43">
        <w:rPr>
          <w:szCs w:val="24"/>
        </w:rPr>
        <w:t xml:space="preserve">Moeini, M., &amp; Rivard, S. (2019). Responding—or not—to information technology project risks: an integrative model. </w:t>
      </w:r>
      <w:r w:rsidRPr="00DE0F43">
        <w:rPr>
          <w:i/>
          <w:szCs w:val="24"/>
        </w:rPr>
        <w:t>MIS Quarterly</w:t>
      </w:r>
      <w:r w:rsidRPr="00DE0F43">
        <w:rPr>
          <w:szCs w:val="24"/>
        </w:rPr>
        <w:t>,</w:t>
      </w:r>
      <w:r w:rsidRPr="00DE0F43">
        <w:rPr>
          <w:i/>
          <w:szCs w:val="24"/>
        </w:rPr>
        <w:t xml:space="preserve"> 43</w:t>
      </w:r>
      <w:r w:rsidRPr="00DE0F43">
        <w:rPr>
          <w:szCs w:val="24"/>
        </w:rPr>
        <w:t xml:space="preserve">(2), 475-500. </w:t>
      </w:r>
    </w:p>
    <w:p w14:paraId="11EF8358" w14:textId="77777777" w:rsidR="00AD5D3F" w:rsidRPr="00DE0F43" w:rsidRDefault="00AD5D3F" w:rsidP="00AD5D3F">
      <w:pPr>
        <w:pStyle w:val="EndNoteBibliography"/>
        <w:spacing w:after="240"/>
        <w:ind w:left="720" w:hanging="720"/>
        <w:rPr>
          <w:szCs w:val="24"/>
        </w:rPr>
      </w:pPr>
      <w:r w:rsidRPr="00DE0F43">
        <w:rPr>
          <w:szCs w:val="24"/>
        </w:rPr>
        <w:t xml:space="preserve">Möhrenschlager, M. (1995). Hacking: To criminalize or not?—suggestions for the legislature. </w:t>
      </w:r>
      <w:r w:rsidRPr="00DE0F43">
        <w:rPr>
          <w:i/>
          <w:szCs w:val="24"/>
        </w:rPr>
        <w:t>Computers &amp; Security</w:t>
      </w:r>
      <w:r w:rsidRPr="00DE0F43">
        <w:rPr>
          <w:szCs w:val="24"/>
        </w:rPr>
        <w:t>,</w:t>
      </w:r>
      <w:r w:rsidRPr="00DE0F43">
        <w:rPr>
          <w:i/>
          <w:szCs w:val="24"/>
        </w:rPr>
        <w:t xml:space="preserve"> 14</w:t>
      </w:r>
      <w:r w:rsidRPr="00DE0F43">
        <w:rPr>
          <w:szCs w:val="24"/>
        </w:rPr>
        <w:t xml:space="preserve">(2), 103-112. </w:t>
      </w:r>
    </w:p>
    <w:p w14:paraId="2C8E92CC" w14:textId="33ACDFCC" w:rsidR="00AD5D3F" w:rsidRPr="00DE0F43" w:rsidRDefault="00AD5D3F" w:rsidP="00AD5D3F">
      <w:pPr>
        <w:pStyle w:val="EndNoteBibliography"/>
        <w:spacing w:after="240"/>
        <w:ind w:left="720" w:hanging="720"/>
        <w:rPr>
          <w:szCs w:val="24"/>
        </w:rPr>
      </w:pPr>
      <w:r w:rsidRPr="00DE0F43">
        <w:rPr>
          <w:szCs w:val="24"/>
        </w:rPr>
        <w:lastRenderedPageBreak/>
        <w:t xml:space="preserve">Moore, J. S. (1992). A prototype expert decision support system for the market appraisal of the single family residence. </w:t>
      </w:r>
      <w:r w:rsidRPr="00DE0F43">
        <w:rPr>
          <w:i/>
          <w:szCs w:val="24"/>
        </w:rPr>
        <w:t>Decision Sciences</w:t>
      </w:r>
      <w:r w:rsidRPr="00DE0F43">
        <w:rPr>
          <w:szCs w:val="24"/>
        </w:rPr>
        <w:t xml:space="preserve">(6), 1408. </w:t>
      </w:r>
    </w:p>
    <w:p w14:paraId="74A26F0D" w14:textId="707F67A9" w:rsidR="00AD5D3F" w:rsidRPr="00DE0F43" w:rsidRDefault="00AD5D3F" w:rsidP="00AD5D3F">
      <w:pPr>
        <w:pStyle w:val="EndNoteBibliography"/>
        <w:spacing w:after="240"/>
        <w:ind w:left="720" w:hanging="720"/>
        <w:rPr>
          <w:szCs w:val="24"/>
        </w:rPr>
      </w:pPr>
      <w:r w:rsidRPr="00DE0F43">
        <w:rPr>
          <w:szCs w:val="24"/>
        </w:rPr>
        <w:t xml:space="preserve">Moquin, R., &amp; Wakefield, R. L. (2016). The Roles of Awareness, Sanctions, and Ethics in Software Compliance </w:t>
      </w:r>
      <w:r w:rsidRPr="00DE0F43">
        <w:rPr>
          <w:i/>
          <w:szCs w:val="24"/>
        </w:rPr>
        <w:t>Journal of Computer Information Systems</w:t>
      </w:r>
      <w:r w:rsidRPr="00DE0F43">
        <w:rPr>
          <w:szCs w:val="24"/>
        </w:rPr>
        <w:t>,</w:t>
      </w:r>
      <w:r w:rsidRPr="00DE0F43">
        <w:rPr>
          <w:i/>
          <w:szCs w:val="24"/>
        </w:rPr>
        <w:t xml:space="preserve"> 56</w:t>
      </w:r>
      <w:r w:rsidRPr="00DE0F43">
        <w:rPr>
          <w:szCs w:val="24"/>
        </w:rPr>
        <w:t xml:space="preserve">(3), 261-270. </w:t>
      </w:r>
      <w:r w:rsidRPr="001C56A3">
        <w:rPr>
          <w:szCs w:val="24"/>
        </w:rPr>
        <w:t>https://doi.org/10.1080/08874417.2016.1153922</w:t>
      </w:r>
      <w:r w:rsidRPr="00DE0F43">
        <w:rPr>
          <w:szCs w:val="24"/>
        </w:rPr>
        <w:t xml:space="preserve"> </w:t>
      </w:r>
    </w:p>
    <w:p w14:paraId="168B48DA" w14:textId="62B8A38C" w:rsidR="00AD5D3F" w:rsidRPr="00DE0F43" w:rsidRDefault="00AD5D3F" w:rsidP="00AD5D3F">
      <w:pPr>
        <w:pStyle w:val="EndNoteBibliography"/>
        <w:spacing w:after="240"/>
        <w:ind w:left="720" w:hanging="720"/>
        <w:rPr>
          <w:szCs w:val="24"/>
        </w:rPr>
      </w:pPr>
      <w:r w:rsidRPr="00DE0F43">
        <w:rPr>
          <w:szCs w:val="24"/>
        </w:rPr>
        <w:t xml:space="preserve">Mumford, E. (2006). Researching people problems: some advice to a student </w:t>
      </w:r>
      <w:r w:rsidRPr="00DE0F43">
        <w:rPr>
          <w:i/>
          <w:szCs w:val="24"/>
        </w:rPr>
        <w:t>Information Systems Journal</w:t>
      </w:r>
      <w:r w:rsidRPr="00DE0F43">
        <w:rPr>
          <w:szCs w:val="24"/>
        </w:rPr>
        <w:t>,</w:t>
      </w:r>
      <w:r w:rsidRPr="00DE0F43">
        <w:rPr>
          <w:i/>
          <w:szCs w:val="24"/>
        </w:rPr>
        <w:t xml:space="preserve"> 16</w:t>
      </w:r>
      <w:r w:rsidRPr="00DE0F43">
        <w:rPr>
          <w:szCs w:val="24"/>
        </w:rPr>
        <w:t xml:space="preserve">(4), 383-389. </w:t>
      </w:r>
      <w:r w:rsidRPr="001C56A3">
        <w:rPr>
          <w:szCs w:val="24"/>
        </w:rPr>
        <w:t>https://doi.org/10.1111/j.1365-2575.2006.00223.x</w:t>
      </w:r>
      <w:r w:rsidRPr="00DE0F43">
        <w:rPr>
          <w:szCs w:val="24"/>
        </w:rPr>
        <w:t xml:space="preserve"> </w:t>
      </w:r>
    </w:p>
    <w:p w14:paraId="787681DF" w14:textId="60671417" w:rsidR="00AD5D3F" w:rsidRPr="00DE0F43" w:rsidRDefault="00AD5D3F" w:rsidP="00AD5D3F">
      <w:pPr>
        <w:pStyle w:val="EndNoteBibliography"/>
        <w:spacing w:after="240"/>
        <w:ind w:left="720" w:hanging="720"/>
        <w:rPr>
          <w:szCs w:val="24"/>
        </w:rPr>
      </w:pPr>
      <w:r w:rsidRPr="00DE0F43">
        <w:rPr>
          <w:szCs w:val="24"/>
        </w:rPr>
        <w:t xml:space="preserve">Murungi, D., Wiener, M., &amp; Marabelli, M. (2019). Control and emotions: Understanding the dynamics of controllee behaviours in a health care information systems project </w:t>
      </w:r>
      <w:r w:rsidRPr="00DE0F43">
        <w:rPr>
          <w:i/>
          <w:szCs w:val="24"/>
        </w:rPr>
        <w:t>Information Systems Journal</w:t>
      </w:r>
      <w:r w:rsidRPr="00DE0F43">
        <w:rPr>
          <w:szCs w:val="24"/>
        </w:rPr>
        <w:t>,</w:t>
      </w:r>
      <w:r w:rsidRPr="00DE0F43">
        <w:rPr>
          <w:i/>
          <w:szCs w:val="24"/>
        </w:rPr>
        <w:t xml:space="preserve"> 29</w:t>
      </w:r>
      <w:r w:rsidRPr="00DE0F43">
        <w:rPr>
          <w:szCs w:val="24"/>
        </w:rPr>
        <w:t xml:space="preserve">(5), 1058-1082. </w:t>
      </w:r>
      <w:r w:rsidRPr="001C56A3">
        <w:rPr>
          <w:szCs w:val="24"/>
        </w:rPr>
        <w:t>https://doi.org/10.1111/isj.12235</w:t>
      </w:r>
      <w:r w:rsidRPr="00DE0F43">
        <w:rPr>
          <w:szCs w:val="24"/>
        </w:rPr>
        <w:t xml:space="preserve"> </w:t>
      </w:r>
    </w:p>
    <w:p w14:paraId="75614E6E" w14:textId="6D7A9536" w:rsidR="00AD5D3F" w:rsidRPr="00DE0F43" w:rsidRDefault="00AD5D3F" w:rsidP="00AD5D3F">
      <w:pPr>
        <w:pStyle w:val="EndNoteBibliography"/>
        <w:spacing w:after="240"/>
        <w:ind w:left="720" w:hanging="720"/>
        <w:rPr>
          <w:szCs w:val="24"/>
        </w:rPr>
      </w:pPr>
      <w:r w:rsidRPr="00DE0F43">
        <w:rPr>
          <w:szCs w:val="24"/>
        </w:rPr>
        <w:t xml:space="preserve">Naderpour, M., Lu, J., &amp; Zhang, G. (2014). An intelligent situation awareness support system for safety-critical environments </w:t>
      </w:r>
      <w:r w:rsidRPr="00DE0F43">
        <w:rPr>
          <w:i/>
          <w:szCs w:val="24"/>
        </w:rPr>
        <w:t>Decision Support Systems</w:t>
      </w:r>
      <w:r w:rsidRPr="00DE0F43">
        <w:rPr>
          <w:szCs w:val="24"/>
        </w:rPr>
        <w:t>,</w:t>
      </w:r>
      <w:r w:rsidRPr="00DE0F43">
        <w:rPr>
          <w:i/>
          <w:szCs w:val="24"/>
        </w:rPr>
        <w:t xml:space="preserve"> 59</w:t>
      </w:r>
      <w:r w:rsidRPr="00DE0F43">
        <w:rPr>
          <w:szCs w:val="24"/>
        </w:rPr>
        <w:t xml:space="preserve">, 325-340. </w:t>
      </w:r>
      <w:r w:rsidRPr="001C56A3">
        <w:rPr>
          <w:szCs w:val="24"/>
        </w:rPr>
        <w:t>https://doi.org/10.1016/j.dss.2014.01.004</w:t>
      </w:r>
      <w:r w:rsidRPr="00DE0F43">
        <w:rPr>
          <w:szCs w:val="24"/>
        </w:rPr>
        <w:t xml:space="preserve"> </w:t>
      </w:r>
    </w:p>
    <w:p w14:paraId="310ACD12" w14:textId="12BB372D" w:rsidR="00AD5D3F" w:rsidRPr="00DE0F43" w:rsidRDefault="00AD5D3F" w:rsidP="00AD5D3F">
      <w:pPr>
        <w:pStyle w:val="EndNoteBibliography"/>
        <w:spacing w:after="240"/>
        <w:ind w:left="720" w:hanging="720"/>
        <w:rPr>
          <w:szCs w:val="24"/>
        </w:rPr>
      </w:pPr>
      <w:r w:rsidRPr="00DE0F43">
        <w:rPr>
          <w:szCs w:val="24"/>
        </w:rPr>
        <w:t xml:space="preserve">Narasimhan, R. (2014). Theory Development in Operations Management: Extending the Frontiers of a Mature Discipline via Qualitative Research </w:t>
      </w:r>
      <w:r w:rsidRPr="00DE0F43">
        <w:rPr>
          <w:i/>
          <w:szCs w:val="24"/>
        </w:rPr>
        <w:t>Decision Sciences</w:t>
      </w:r>
      <w:r w:rsidRPr="00DE0F43">
        <w:rPr>
          <w:szCs w:val="24"/>
        </w:rPr>
        <w:t>,</w:t>
      </w:r>
      <w:r w:rsidRPr="00DE0F43">
        <w:rPr>
          <w:i/>
          <w:szCs w:val="24"/>
        </w:rPr>
        <w:t xml:space="preserve"> 45</w:t>
      </w:r>
      <w:r w:rsidRPr="00DE0F43">
        <w:rPr>
          <w:szCs w:val="24"/>
        </w:rPr>
        <w:t xml:space="preserve">(2), 209-227. </w:t>
      </w:r>
      <w:r w:rsidRPr="001C56A3">
        <w:rPr>
          <w:szCs w:val="24"/>
        </w:rPr>
        <w:t>https://doi.org/10.1111/deci.12072</w:t>
      </w:r>
      <w:r w:rsidRPr="00DE0F43">
        <w:rPr>
          <w:szCs w:val="24"/>
        </w:rPr>
        <w:t xml:space="preserve"> </w:t>
      </w:r>
    </w:p>
    <w:p w14:paraId="0669EFCD" w14:textId="334064E2" w:rsidR="00AD5D3F" w:rsidRPr="00DE0F43" w:rsidRDefault="00AD5D3F" w:rsidP="00AD5D3F">
      <w:pPr>
        <w:pStyle w:val="EndNoteBibliography"/>
        <w:spacing w:after="240"/>
        <w:ind w:left="720" w:hanging="720"/>
        <w:rPr>
          <w:szCs w:val="24"/>
        </w:rPr>
      </w:pPr>
      <w:r w:rsidRPr="00DE0F43">
        <w:rPr>
          <w:szCs w:val="24"/>
        </w:rPr>
        <w:t xml:space="preserve">Narasimhan, R., Schoenherr, T., Jacobs, B. W., &amp; Kim, M. K. (2015). The Financial Impact of FSC Certification in the United States: A Contingency Perspective </w:t>
      </w:r>
      <w:r w:rsidRPr="00DE0F43">
        <w:rPr>
          <w:i/>
          <w:szCs w:val="24"/>
        </w:rPr>
        <w:t>Decision Sciences</w:t>
      </w:r>
      <w:r w:rsidRPr="00DE0F43">
        <w:rPr>
          <w:szCs w:val="24"/>
        </w:rPr>
        <w:t>,</w:t>
      </w:r>
      <w:r w:rsidRPr="00DE0F43">
        <w:rPr>
          <w:i/>
          <w:szCs w:val="24"/>
        </w:rPr>
        <w:t xml:space="preserve"> 46</w:t>
      </w:r>
      <w:r w:rsidRPr="00DE0F43">
        <w:rPr>
          <w:szCs w:val="24"/>
        </w:rPr>
        <w:t xml:space="preserve">(3), 527-563. </w:t>
      </w:r>
      <w:r w:rsidRPr="001C56A3">
        <w:rPr>
          <w:szCs w:val="24"/>
        </w:rPr>
        <w:t>https://doi.org/10.1111/deci.12141</w:t>
      </w:r>
      <w:r w:rsidRPr="00DE0F43">
        <w:rPr>
          <w:szCs w:val="24"/>
        </w:rPr>
        <w:t xml:space="preserve"> </w:t>
      </w:r>
    </w:p>
    <w:p w14:paraId="29215128" w14:textId="202B5954" w:rsidR="00AD5D3F" w:rsidRPr="00DE0F43" w:rsidRDefault="00AD5D3F" w:rsidP="00AD5D3F">
      <w:pPr>
        <w:pStyle w:val="EndNoteBibliography"/>
        <w:spacing w:after="240"/>
        <w:ind w:left="720" w:hanging="720"/>
        <w:rPr>
          <w:szCs w:val="24"/>
        </w:rPr>
      </w:pPr>
      <w:r w:rsidRPr="00DE0F43">
        <w:rPr>
          <w:szCs w:val="24"/>
        </w:rPr>
        <w:t xml:space="preserve">Nazem, S. M. (1990). Sources of software and levels of satisfaction for small business computer applications. </w:t>
      </w:r>
      <w:r w:rsidRPr="00DE0F43">
        <w:rPr>
          <w:i/>
          <w:szCs w:val="24"/>
        </w:rPr>
        <w:t>Information &amp; Management</w:t>
      </w:r>
      <w:r w:rsidRPr="00DE0F43">
        <w:rPr>
          <w:szCs w:val="24"/>
        </w:rPr>
        <w:t>,</w:t>
      </w:r>
      <w:r w:rsidRPr="00DE0F43">
        <w:rPr>
          <w:i/>
          <w:szCs w:val="24"/>
        </w:rPr>
        <w:t xml:space="preserve"> 19</w:t>
      </w:r>
      <w:r w:rsidRPr="00DE0F43">
        <w:rPr>
          <w:szCs w:val="24"/>
        </w:rPr>
        <w:t xml:space="preserve">(2), 95-100. </w:t>
      </w:r>
      <w:r w:rsidRPr="001C56A3">
        <w:rPr>
          <w:szCs w:val="24"/>
        </w:rPr>
        <w:t>https://doi.org/10.1016/0378-7206(90)90019-E</w:t>
      </w:r>
      <w:r w:rsidRPr="00DE0F43">
        <w:rPr>
          <w:szCs w:val="24"/>
        </w:rPr>
        <w:t xml:space="preserve"> </w:t>
      </w:r>
    </w:p>
    <w:p w14:paraId="7E334285" w14:textId="486AFA08" w:rsidR="00AD5D3F" w:rsidRPr="00DE0F43" w:rsidRDefault="00AD5D3F" w:rsidP="00AD5D3F">
      <w:pPr>
        <w:pStyle w:val="EndNoteBibliography"/>
        <w:spacing w:after="240"/>
        <w:ind w:left="720" w:hanging="720"/>
        <w:rPr>
          <w:szCs w:val="24"/>
        </w:rPr>
      </w:pPr>
      <w:r w:rsidRPr="00DE0F43">
        <w:rPr>
          <w:szCs w:val="24"/>
        </w:rPr>
        <w:t xml:space="preserve">Newman, J., &amp; Kozar, K. A. (1994). A Multimedia Solution to Productivity Gridlock: A Re-Engineered Jewelry Appraisal System at Zale Corporation </w:t>
      </w:r>
      <w:r w:rsidRPr="00DE0F43">
        <w:rPr>
          <w:i/>
          <w:szCs w:val="24"/>
        </w:rPr>
        <w:t>MIS Quarterly</w:t>
      </w:r>
      <w:r w:rsidRPr="00DE0F43">
        <w:rPr>
          <w:szCs w:val="24"/>
        </w:rPr>
        <w:t>,</w:t>
      </w:r>
      <w:r w:rsidRPr="00DE0F43">
        <w:rPr>
          <w:i/>
          <w:szCs w:val="24"/>
        </w:rPr>
        <w:t xml:space="preserve"> 18</w:t>
      </w:r>
      <w:r w:rsidRPr="00DE0F43">
        <w:rPr>
          <w:szCs w:val="24"/>
        </w:rPr>
        <w:t xml:space="preserve">(1), 21-30. </w:t>
      </w:r>
      <w:r w:rsidRPr="001C56A3">
        <w:rPr>
          <w:szCs w:val="24"/>
        </w:rPr>
        <w:t>https://doi.org/10.2307/249608</w:t>
      </w:r>
      <w:r w:rsidRPr="00DE0F43">
        <w:rPr>
          <w:szCs w:val="24"/>
        </w:rPr>
        <w:t xml:space="preserve"> </w:t>
      </w:r>
    </w:p>
    <w:p w14:paraId="0F8BE41A" w14:textId="77777777" w:rsidR="00AD5D3F" w:rsidRPr="00DE0F43" w:rsidRDefault="00AD5D3F" w:rsidP="00AD5D3F">
      <w:pPr>
        <w:pStyle w:val="EndNoteBibliography"/>
        <w:spacing w:after="240"/>
        <w:ind w:left="720" w:hanging="720"/>
        <w:rPr>
          <w:szCs w:val="24"/>
        </w:rPr>
      </w:pPr>
      <w:r w:rsidRPr="00DE0F43">
        <w:rPr>
          <w:szCs w:val="24"/>
        </w:rPr>
        <w:t xml:space="preserve">Ngosi, T., &amp; Braganza, A. (2009). Toward a component-based design framework of the international information technology standardization process. </w:t>
      </w:r>
      <w:r w:rsidRPr="00DE0F43">
        <w:rPr>
          <w:i/>
          <w:szCs w:val="24"/>
        </w:rPr>
        <w:t>Journal of Information Technology</w:t>
      </w:r>
      <w:r w:rsidRPr="00DE0F43">
        <w:rPr>
          <w:szCs w:val="24"/>
        </w:rPr>
        <w:t>,</w:t>
      </w:r>
      <w:r w:rsidRPr="00DE0F43">
        <w:rPr>
          <w:i/>
          <w:szCs w:val="24"/>
        </w:rPr>
        <w:t xml:space="preserve"> 24</w:t>
      </w:r>
      <w:r w:rsidRPr="00DE0F43">
        <w:rPr>
          <w:szCs w:val="24"/>
        </w:rPr>
        <w:t xml:space="preserve">(1), 103-125. </w:t>
      </w:r>
    </w:p>
    <w:p w14:paraId="04BA6F9F" w14:textId="4B06ED22" w:rsidR="00AD5D3F" w:rsidRPr="00DE0F43" w:rsidRDefault="00AD5D3F" w:rsidP="00AD5D3F">
      <w:pPr>
        <w:pStyle w:val="EndNoteBibliography"/>
        <w:spacing w:after="240"/>
        <w:ind w:left="720" w:hanging="720"/>
        <w:rPr>
          <w:szCs w:val="24"/>
        </w:rPr>
      </w:pPr>
      <w:r w:rsidRPr="00DE0F43">
        <w:rPr>
          <w:szCs w:val="24"/>
        </w:rPr>
        <w:t xml:space="preserve">Niemimaa, M. (2017). Information systems continuity process: Conceptual foundations for the study of the “social” </w:t>
      </w:r>
      <w:r w:rsidRPr="00DE0F43">
        <w:rPr>
          <w:i/>
          <w:szCs w:val="24"/>
        </w:rPr>
        <w:t>Computers &amp; Security</w:t>
      </w:r>
      <w:r w:rsidRPr="00DE0F43">
        <w:rPr>
          <w:szCs w:val="24"/>
        </w:rPr>
        <w:t>,</w:t>
      </w:r>
      <w:r w:rsidRPr="00DE0F43">
        <w:rPr>
          <w:i/>
          <w:szCs w:val="24"/>
        </w:rPr>
        <w:t xml:space="preserve"> 65</w:t>
      </w:r>
      <w:r w:rsidRPr="00DE0F43">
        <w:rPr>
          <w:szCs w:val="24"/>
        </w:rPr>
        <w:t xml:space="preserve">, 1-13. </w:t>
      </w:r>
      <w:r w:rsidRPr="001C56A3">
        <w:rPr>
          <w:szCs w:val="24"/>
        </w:rPr>
        <w:t>https://doi.org/10.1016/j.cose.2016.11.001</w:t>
      </w:r>
      <w:r w:rsidRPr="00DE0F43">
        <w:rPr>
          <w:szCs w:val="24"/>
        </w:rPr>
        <w:t xml:space="preserve"> </w:t>
      </w:r>
    </w:p>
    <w:p w14:paraId="7F58E6BF" w14:textId="63C3FE3A" w:rsidR="00AD5D3F" w:rsidRPr="00DE0F43" w:rsidRDefault="00AD5D3F" w:rsidP="00AD5D3F">
      <w:pPr>
        <w:pStyle w:val="EndNoteBibliography"/>
        <w:spacing w:after="240"/>
        <w:ind w:left="720" w:hanging="720"/>
        <w:rPr>
          <w:szCs w:val="24"/>
        </w:rPr>
      </w:pPr>
      <w:r w:rsidRPr="00DE0F43">
        <w:rPr>
          <w:szCs w:val="24"/>
        </w:rPr>
        <w:t xml:space="preserve">Nunamaker Jr, J. F., Derrick, D. C., Elkins, A. C., Burgoon, J. K., &amp; Patton, M. W. (2011). Embodied Conversational Agent-Based Kiosk for Automated Interviewing </w:t>
      </w:r>
      <w:r w:rsidRPr="00DE0F43">
        <w:rPr>
          <w:i/>
          <w:szCs w:val="24"/>
        </w:rPr>
        <w:t>Journal of Management Information Systems</w:t>
      </w:r>
      <w:r w:rsidRPr="00DE0F43">
        <w:rPr>
          <w:szCs w:val="24"/>
        </w:rPr>
        <w:t>,</w:t>
      </w:r>
      <w:r w:rsidRPr="00DE0F43">
        <w:rPr>
          <w:i/>
          <w:szCs w:val="24"/>
        </w:rPr>
        <w:t xml:space="preserve"> 28</w:t>
      </w:r>
      <w:r w:rsidRPr="00DE0F43">
        <w:rPr>
          <w:szCs w:val="24"/>
        </w:rPr>
        <w:t xml:space="preserve">(1), 17-48. </w:t>
      </w:r>
      <w:r w:rsidRPr="001C56A3">
        <w:rPr>
          <w:szCs w:val="24"/>
        </w:rPr>
        <w:t>https://doi.org/10.2753/MIS0742-1222280102</w:t>
      </w:r>
      <w:r w:rsidRPr="00DE0F43">
        <w:rPr>
          <w:szCs w:val="24"/>
        </w:rPr>
        <w:t xml:space="preserve"> </w:t>
      </w:r>
    </w:p>
    <w:p w14:paraId="1099323D" w14:textId="094BA891" w:rsidR="00AD5D3F" w:rsidRPr="00DE0F43" w:rsidRDefault="00AD5D3F" w:rsidP="00AD5D3F">
      <w:pPr>
        <w:pStyle w:val="EndNoteBibliography"/>
        <w:spacing w:after="240"/>
        <w:ind w:left="720" w:hanging="720"/>
        <w:rPr>
          <w:szCs w:val="24"/>
        </w:rPr>
      </w:pPr>
      <w:r w:rsidRPr="00DE0F43">
        <w:rPr>
          <w:szCs w:val="24"/>
        </w:rPr>
        <w:lastRenderedPageBreak/>
        <w:t xml:space="preserve">Ortiz de Guinea, A., &amp; Webster, J. (2013). An Investigation of Information Systems Use Patterns: Technological Events as Triggers, the Effect of Time, and Consequences for Performance. </w:t>
      </w:r>
      <w:r w:rsidRPr="00DE0F43">
        <w:rPr>
          <w:i/>
          <w:szCs w:val="24"/>
        </w:rPr>
        <w:t>MIS Quarterly</w:t>
      </w:r>
      <w:r w:rsidRPr="00DE0F43">
        <w:rPr>
          <w:szCs w:val="24"/>
        </w:rPr>
        <w:t>,</w:t>
      </w:r>
      <w:r w:rsidRPr="00DE0F43">
        <w:rPr>
          <w:i/>
          <w:szCs w:val="24"/>
        </w:rPr>
        <w:t xml:space="preserve"> 37</w:t>
      </w:r>
      <w:r w:rsidRPr="00DE0F43">
        <w:rPr>
          <w:szCs w:val="24"/>
        </w:rPr>
        <w:t>(4), 1165</w:t>
      </w:r>
      <w:r w:rsidR="001C71AA">
        <w:rPr>
          <w:szCs w:val="24"/>
        </w:rPr>
        <w:t>-1188</w:t>
      </w:r>
      <w:r w:rsidRPr="00DE0F43">
        <w:rPr>
          <w:szCs w:val="24"/>
        </w:rPr>
        <w:t xml:space="preserve">. </w:t>
      </w:r>
    </w:p>
    <w:p w14:paraId="60290395" w14:textId="70FCDED8" w:rsidR="00AD5D3F" w:rsidRPr="00DE0F43" w:rsidRDefault="00AD5D3F" w:rsidP="00AD5D3F">
      <w:pPr>
        <w:pStyle w:val="EndNoteBibliography"/>
        <w:spacing w:after="240"/>
        <w:ind w:left="720" w:hanging="720"/>
        <w:rPr>
          <w:szCs w:val="24"/>
        </w:rPr>
      </w:pPr>
      <w:r w:rsidRPr="00DE0F43">
        <w:rPr>
          <w:szCs w:val="24"/>
        </w:rPr>
        <w:t xml:space="preserve">Otim, S., Dow, K. E., Grover, V., &amp; Wong, J. A. (2012). The Impact of Information Technology Investments on Downside Risk of the Firm: Alternative Measurement of the Business Value of IT </w:t>
      </w:r>
      <w:r w:rsidRPr="00DE0F43">
        <w:rPr>
          <w:i/>
          <w:szCs w:val="24"/>
        </w:rPr>
        <w:t>Journal of Management Information Systems</w:t>
      </w:r>
      <w:r w:rsidRPr="00DE0F43">
        <w:rPr>
          <w:szCs w:val="24"/>
        </w:rPr>
        <w:t>,</w:t>
      </w:r>
      <w:r w:rsidRPr="00DE0F43">
        <w:rPr>
          <w:i/>
          <w:szCs w:val="24"/>
        </w:rPr>
        <w:t xml:space="preserve"> 29</w:t>
      </w:r>
      <w:r w:rsidRPr="00DE0F43">
        <w:rPr>
          <w:szCs w:val="24"/>
        </w:rPr>
        <w:t xml:space="preserve">(1), 159-194. </w:t>
      </w:r>
      <w:r w:rsidRPr="001C56A3">
        <w:rPr>
          <w:szCs w:val="24"/>
        </w:rPr>
        <w:t>https://doi.org/10.2753/MIS0742-1222290105</w:t>
      </w:r>
      <w:r w:rsidRPr="00DE0F43">
        <w:rPr>
          <w:szCs w:val="24"/>
        </w:rPr>
        <w:t xml:space="preserve"> </w:t>
      </w:r>
    </w:p>
    <w:p w14:paraId="207B5887" w14:textId="2FFDF443" w:rsidR="00AD5D3F" w:rsidRPr="00DE0F43" w:rsidRDefault="00AD5D3F" w:rsidP="00AD5D3F">
      <w:pPr>
        <w:pStyle w:val="EndNoteBibliography"/>
        <w:spacing w:after="240"/>
        <w:ind w:left="720" w:hanging="720"/>
        <w:rPr>
          <w:szCs w:val="24"/>
        </w:rPr>
      </w:pPr>
      <w:r w:rsidRPr="00DE0F43">
        <w:rPr>
          <w:szCs w:val="24"/>
        </w:rPr>
        <w:t xml:space="preserve">Palmieri, F., &amp; Fiore, U. (2009). Providing true end-to-end security in converged voice over IP infrastructures </w:t>
      </w:r>
      <w:r w:rsidRPr="00DE0F43">
        <w:rPr>
          <w:i/>
          <w:szCs w:val="24"/>
        </w:rPr>
        <w:t>Computers &amp; Security</w:t>
      </w:r>
      <w:r w:rsidRPr="00DE0F43">
        <w:rPr>
          <w:szCs w:val="24"/>
        </w:rPr>
        <w:t>,</w:t>
      </w:r>
      <w:r w:rsidRPr="00DE0F43">
        <w:rPr>
          <w:i/>
          <w:szCs w:val="24"/>
        </w:rPr>
        <w:t xml:space="preserve"> 28</w:t>
      </w:r>
      <w:r w:rsidRPr="00DE0F43">
        <w:rPr>
          <w:szCs w:val="24"/>
        </w:rPr>
        <w:t xml:space="preserve">(6), 433-449. </w:t>
      </w:r>
      <w:r w:rsidRPr="001C56A3">
        <w:rPr>
          <w:szCs w:val="24"/>
        </w:rPr>
        <w:t>https://doi.org/10.1016/j.cose.2009.01.004</w:t>
      </w:r>
      <w:r w:rsidRPr="00DE0F43">
        <w:rPr>
          <w:szCs w:val="24"/>
        </w:rPr>
        <w:t xml:space="preserve"> </w:t>
      </w:r>
    </w:p>
    <w:p w14:paraId="36FFEE03" w14:textId="6556D688" w:rsidR="00AD5D3F" w:rsidRPr="00DE0F43" w:rsidRDefault="00AD5D3F" w:rsidP="00AD5D3F">
      <w:pPr>
        <w:pStyle w:val="EndNoteBibliography"/>
        <w:spacing w:after="240"/>
        <w:ind w:left="720" w:hanging="720"/>
        <w:rPr>
          <w:szCs w:val="24"/>
        </w:rPr>
      </w:pPr>
      <w:r w:rsidRPr="00DE0F43">
        <w:rPr>
          <w:szCs w:val="24"/>
        </w:rPr>
        <w:t xml:space="preserve">Panteli, N., Yan, L., &amp; Chamakiotis, P. (2011). Writing to the unknown: bloggers and the presence of backpackers. </w:t>
      </w:r>
      <w:r w:rsidRPr="00DE0F43">
        <w:rPr>
          <w:i/>
          <w:szCs w:val="24"/>
        </w:rPr>
        <w:t>Information Technology &amp; People</w:t>
      </w:r>
      <w:r w:rsidRPr="00DE0F43">
        <w:rPr>
          <w:szCs w:val="24"/>
        </w:rPr>
        <w:t>,</w:t>
      </w:r>
      <w:r w:rsidRPr="00DE0F43">
        <w:rPr>
          <w:i/>
          <w:szCs w:val="24"/>
        </w:rPr>
        <w:t xml:space="preserve"> 24</w:t>
      </w:r>
      <w:r w:rsidRPr="00DE0F43">
        <w:rPr>
          <w:szCs w:val="24"/>
        </w:rPr>
        <w:t>(4), 362</w:t>
      </w:r>
      <w:r w:rsidR="001C71AA">
        <w:rPr>
          <w:szCs w:val="24"/>
        </w:rPr>
        <w:t>-377</w:t>
      </w:r>
      <w:r w:rsidRPr="00DE0F43">
        <w:rPr>
          <w:szCs w:val="24"/>
        </w:rPr>
        <w:t xml:space="preserve">. </w:t>
      </w:r>
    </w:p>
    <w:p w14:paraId="135AC10F" w14:textId="3C90887B" w:rsidR="00AD5D3F" w:rsidRPr="00DE0F43" w:rsidRDefault="00AD5D3F" w:rsidP="00AD5D3F">
      <w:pPr>
        <w:pStyle w:val="EndNoteBibliography"/>
        <w:spacing w:after="240"/>
        <w:ind w:left="720" w:hanging="720"/>
        <w:rPr>
          <w:szCs w:val="24"/>
        </w:rPr>
      </w:pPr>
      <w:r w:rsidRPr="00DE0F43">
        <w:rPr>
          <w:szCs w:val="24"/>
        </w:rPr>
        <w:t xml:space="preserve">Park, E., Im, G., Storey, V. C., &amp; Baskerville, R. L. (2019). Never, Never Together Again: How Postpurchase Affect Drives Consumer Outcomes Within the Context of Online Consumer Support Communities </w:t>
      </w:r>
      <w:r w:rsidRPr="00DE0F43">
        <w:rPr>
          <w:i/>
          <w:szCs w:val="24"/>
        </w:rPr>
        <w:t>Journal of the Association for Information Systems</w:t>
      </w:r>
      <w:r w:rsidRPr="00DE0F43">
        <w:rPr>
          <w:szCs w:val="24"/>
        </w:rPr>
        <w:t>,</w:t>
      </w:r>
      <w:r w:rsidRPr="00DE0F43">
        <w:rPr>
          <w:i/>
          <w:szCs w:val="24"/>
        </w:rPr>
        <w:t xml:space="preserve"> 20</w:t>
      </w:r>
      <w:r w:rsidRPr="00DE0F43">
        <w:rPr>
          <w:szCs w:val="24"/>
        </w:rPr>
        <w:t xml:space="preserve">(1), 58-104. </w:t>
      </w:r>
      <w:r w:rsidRPr="001C56A3">
        <w:rPr>
          <w:szCs w:val="24"/>
        </w:rPr>
        <w:t>https://doi.org/10.17705/1jais.00529</w:t>
      </w:r>
      <w:r w:rsidRPr="00DE0F43">
        <w:rPr>
          <w:szCs w:val="24"/>
        </w:rPr>
        <w:t xml:space="preserve"> </w:t>
      </w:r>
    </w:p>
    <w:p w14:paraId="1BAD195E" w14:textId="5BFC4348" w:rsidR="00AD5D3F" w:rsidRPr="00DE0F43" w:rsidRDefault="00AD5D3F" w:rsidP="00AD5D3F">
      <w:pPr>
        <w:pStyle w:val="EndNoteBibliography"/>
        <w:spacing w:after="240"/>
        <w:ind w:left="720" w:hanging="720"/>
        <w:rPr>
          <w:szCs w:val="24"/>
        </w:rPr>
      </w:pPr>
      <w:r w:rsidRPr="00DE0F43">
        <w:rPr>
          <w:szCs w:val="24"/>
        </w:rPr>
        <w:t xml:space="preserve">Park, H., Bellamy, M. A., &amp; Basole, R. C. (2016). Visual analytics for supply network management: System design and evaluation. </w:t>
      </w:r>
      <w:r w:rsidRPr="00DE0F43">
        <w:rPr>
          <w:i/>
          <w:szCs w:val="24"/>
        </w:rPr>
        <w:t>Decision Support Systems</w:t>
      </w:r>
      <w:r w:rsidR="001C71AA">
        <w:rPr>
          <w:i/>
          <w:szCs w:val="24"/>
        </w:rPr>
        <w:t xml:space="preserve"> 91, </w:t>
      </w:r>
      <w:r w:rsidR="001C71AA">
        <w:rPr>
          <w:iCs/>
          <w:szCs w:val="24"/>
        </w:rPr>
        <w:t>89-102</w:t>
      </w:r>
      <w:r w:rsidRPr="00DE0F43">
        <w:rPr>
          <w:szCs w:val="24"/>
        </w:rPr>
        <w:t xml:space="preserve">. </w:t>
      </w:r>
      <w:r w:rsidRPr="001C56A3">
        <w:rPr>
          <w:szCs w:val="24"/>
        </w:rPr>
        <w:t>https://doi.org/10.1016/j.dss.2016.08.003</w:t>
      </w:r>
      <w:r w:rsidRPr="00DE0F43">
        <w:rPr>
          <w:szCs w:val="24"/>
        </w:rPr>
        <w:t xml:space="preserve"> </w:t>
      </w:r>
    </w:p>
    <w:p w14:paraId="5AB2F879" w14:textId="77777777" w:rsidR="00AD5D3F" w:rsidRPr="00DE0F43" w:rsidRDefault="00AD5D3F" w:rsidP="00AD5D3F">
      <w:pPr>
        <w:pStyle w:val="EndNoteBibliography"/>
        <w:spacing w:after="240"/>
        <w:ind w:left="720" w:hanging="720"/>
        <w:rPr>
          <w:szCs w:val="24"/>
        </w:rPr>
      </w:pPr>
      <w:r w:rsidRPr="00DE0F43">
        <w:rPr>
          <w:szCs w:val="24"/>
        </w:rPr>
        <w:t xml:space="preserve">Patsakis, C., Dellios, K., &amp; Bouroche, M. (2014). Towards a distributed secure in-vehicle communication architecture for modern vehicles. </w:t>
      </w:r>
      <w:r w:rsidRPr="00DE0F43">
        <w:rPr>
          <w:i/>
          <w:szCs w:val="24"/>
        </w:rPr>
        <w:t>Computers &amp; Security</w:t>
      </w:r>
      <w:r w:rsidRPr="00DE0F43">
        <w:rPr>
          <w:szCs w:val="24"/>
        </w:rPr>
        <w:t>,</w:t>
      </w:r>
      <w:r w:rsidRPr="00DE0F43">
        <w:rPr>
          <w:i/>
          <w:szCs w:val="24"/>
        </w:rPr>
        <w:t xml:space="preserve"> 40</w:t>
      </w:r>
      <w:r w:rsidRPr="00DE0F43">
        <w:rPr>
          <w:szCs w:val="24"/>
        </w:rPr>
        <w:t xml:space="preserve">, 60-74. </w:t>
      </w:r>
    </w:p>
    <w:p w14:paraId="1EF3252F" w14:textId="4F889574" w:rsidR="00AD5D3F" w:rsidRPr="00DE0F43" w:rsidRDefault="00AD5D3F" w:rsidP="00AD5D3F">
      <w:pPr>
        <w:pStyle w:val="EndNoteBibliography"/>
        <w:spacing w:after="240"/>
        <w:ind w:left="720" w:hanging="720"/>
        <w:rPr>
          <w:szCs w:val="24"/>
        </w:rPr>
      </w:pPr>
      <w:r w:rsidRPr="00DE0F43">
        <w:rPr>
          <w:szCs w:val="24"/>
        </w:rPr>
        <w:t xml:space="preserve">Paul, R. J. (2007). Challenges to information systems: time to change. </w:t>
      </w:r>
      <w:r w:rsidRPr="00DE0F43">
        <w:rPr>
          <w:i/>
          <w:szCs w:val="24"/>
        </w:rPr>
        <w:t>European Journal of Information Systems</w:t>
      </w:r>
      <w:r w:rsidRPr="00DE0F43">
        <w:rPr>
          <w:szCs w:val="24"/>
        </w:rPr>
        <w:t>,</w:t>
      </w:r>
      <w:r w:rsidRPr="00DE0F43">
        <w:rPr>
          <w:i/>
          <w:szCs w:val="24"/>
        </w:rPr>
        <w:t xml:space="preserve"> 16</w:t>
      </w:r>
      <w:r w:rsidRPr="00DE0F43">
        <w:rPr>
          <w:szCs w:val="24"/>
        </w:rPr>
        <w:t xml:space="preserve">(3), 193-195. </w:t>
      </w:r>
      <w:r w:rsidRPr="001C56A3">
        <w:rPr>
          <w:szCs w:val="24"/>
        </w:rPr>
        <w:t>https://doi.org/10.1057/palgrave.ejis.3000681</w:t>
      </w:r>
      <w:r w:rsidRPr="00DE0F43">
        <w:rPr>
          <w:szCs w:val="24"/>
        </w:rPr>
        <w:t xml:space="preserve"> </w:t>
      </w:r>
    </w:p>
    <w:p w14:paraId="70E62CC6" w14:textId="77777777" w:rsidR="00AD5D3F" w:rsidRPr="00DE0F43" w:rsidRDefault="00AD5D3F" w:rsidP="00AD5D3F">
      <w:pPr>
        <w:pStyle w:val="EndNoteBibliography"/>
        <w:spacing w:after="240"/>
        <w:ind w:left="720" w:hanging="720"/>
        <w:rPr>
          <w:szCs w:val="24"/>
        </w:rPr>
      </w:pPr>
      <w:r w:rsidRPr="00DE0F43">
        <w:rPr>
          <w:szCs w:val="24"/>
        </w:rPr>
        <w:t xml:space="preserve">Pavlou, P. A., &amp; Fygenson, M. (2006). Understanding and predicting electronic commerce adoption: An extension of the theory of planned behavior. </w:t>
      </w:r>
      <w:r w:rsidRPr="00DE0F43">
        <w:rPr>
          <w:i/>
          <w:szCs w:val="24"/>
        </w:rPr>
        <w:t>MIS Quarterly</w:t>
      </w:r>
      <w:r w:rsidRPr="00DE0F43">
        <w:rPr>
          <w:szCs w:val="24"/>
        </w:rPr>
        <w:t>,</w:t>
      </w:r>
      <w:r w:rsidRPr="00DE0F43">
        <w:rPr>
          <w:i/>
          <w:szCs w:val="24"/>
        </w:rPr>
        <w:t xml:space="preserve"> 30</w:t>
      </w:r>
      <w:r w:rsidRPr="00DE0F43">
        <w:rPr>
          <w:szCs w:val="24"/>
        </w:rPr>
        <w:t xml:space="preserve">(1), 115-143. </w:t>
      </w:r>
    </w:p>
    <w:p w14:paraId="4950AAAE" w14:textId="77777777" w:rsidR="00AD5D3F" w:rsidRPr="00DE0F43" w:rsidRDefault="00AD5D3F" w:rsidP="00AD5D3F">
      <w:pPr>
        <w:pStyle w:val="EndNoteBibliography"/>
        <w:spacing w:after="240"/>
        <w:ind w:left="720" w:hanging="720"/>
        <w:rPr>
          <w:szCs w:val="24"/>
        </w:rPr>
      </w:pPr>
      <w:r w:rsidRPr="00DE0F43">
        <w:rPr>
          <w:szCs w:val="24"/>
        </w:rPr>
        <w:t xml:space="preserve">Pavri, F., &amp; Ang, J. (1995). A study of the strategic planning practices in Singapore. </w:t>
      </w:r>
      <w:r w:rsidRPr="00DE0F43">
        <w:rPr>
          <w:i/>
          <w:szCs w:val="24"/>
        </w:rPr>
        <w:t>Information &amp; Management</w:t>
      </w:r>
      <w:r w:rsidRPr="00DE0F43">
        <w:rPr>
          <w:szCs w:val="24"/>
        </w:rPr>
        <w:t>,</w:t>
      </w:r>
      <w:r w:rsidRPr="00DE0F43">
        <w:rPr>
          <w:i/>
          <w:szCs w:val="24"/>
        </w:rPr>
        <w:t xml:space="preserve"> 28</w:t>
      </w:r>
      <w:r w:rsidRPr="00DE0F43">
        <w:rPr>
          <w:szCs w:val="24"/>
        </w:rPr>
        <w:t xml:space="preserve">(1), 33-47. </w:t>
      </w:r>
    </w:p>
    <w:p w14:paraId="36B0ADB4" w14:textId="77777777" w:rsidR="00AD5D3F" w:rsidRPr="00DE0F43" w:rsidRDefault="00AD5D3F" w:rsidP="00AD5D3F">
      <w:pPr>
        <w:pStyle w:val="EndNoteBibliography"/>
        <w:spacing w:after="240"/>
        <w:ind w:left="720" w:hanging="720"/>
        <w:rPr>
          <w:szCs w:val="24"/>
        </w:rPr>
      </w:pPr>
      <w:r w:rsidRPr="00DE0F43">
        <w:rPr>
          <w:szCs w:val="24"/>
        </w:rPr>
        <w:t xml:space="preserve">Posey, C., Roberts, T. L., &amp; Lowry, P. B. (2015). The impact of organizational commitment on insiders’ motivation to protect organizational information assets. </w:t>
      </w:r>
      <w:r w:rsidRPr="00DE0F43">
        <w:rPr>
          <w:i/>
          <w:szCs w:val="24"/>
        </w:rPr>
        <w:t>Journal of Management Information Systems</w:t>
      </w:r>
      <w:r w:rsidRPr="00DE0F43">
        <w:rPr>
          <w:szCs w:val="24"/>
        </w:rPr>
        <w:t>,</w:t>
      </w:r>
      <w:r w:rsidRPr="00DE0F43">
        <w:rPr>
          <w:i/>
          <w:szCs w:val="24"/>
        </w:rPr>
        <w:t xml:space="preserve"> 32</w:t>
      </w:r>
      <w:r w:rsidRPr="00DE0F43">
        <w:rPr>
          <w:szCs w:val="24"/>
        </w:rPr>
        <w:t xml:space="preserve">(4), 179-214. </w:t>
      </w:r>
    </w:p>
    <w:p w14:paraId="330499B9" w14:textId="0FD09DDE" w:rsidR="00AD5D3F" w:rsidRPr="00DE0F43" w:rsidRDefault="00AD5D3F" w:rsidP="00AD5D3F">
      <w:pPr>
        <w:pStyle w:val="EndNoteBibliography"/>
        <w:spacing w:after="240"/>
        <w:ind w:left="720" w:hanging="720"/>
        <w:rPr>
          <w:szCs w:val="24"/>
        </w:rPr>
      </w:pPr>
      <w:r w:rsidRPr="00DE0F43">
        <w:rPr>
          <w:szCs w:val="24"/>
        </w:rPr>
        <w:t xml:space="preserve">Pournarakis, D. E., Sotiropoulos, D. N., &amp; Giaglis, G. M. (2017). A computational model for mining consumer perceptions in social media </w:t>
      </w:r>
      <w:r w:rsidRPr="00DE0F43">
        <w:rPr>
          <w:i/>
          <w:szCs w:val="24"/>
        </w:rPr>
        <w:t>Decision Support Systems</w:t>
      </w:r>
      <w:r w:rsidRPr="00DE0F43">
        <w:rPr>
          <w:szCs w:val="24"/>
        </w:rPr>
        <w:t>,</w:t>
      </w:r>
      <w:r w:rsidRPr="00DE0F43">
        <w:rPr>
          <w:i/>
          <w:szCs w:val="24"/>
        </w:rPr>
        <w:t xml:space="preserve"> 93</w:t>
      </w:r>
      <w:r w:rsidRPr="00DE0F43">
        <w:rPr>
          <w:szCs w:val="24"/>
        </w:rPr>
        <w:t xml:space="preserve">, 98-110. </w:t>
      </w:r>
      <w:r w:rsidRPr="001C56A3">
        <w:rPr>
          <w:szCs w:val="24"/>
        </w:rPr>
        <w:t>https://doi.org/10.1016/j.dss.2016.09.018</w:t>
      </w:r>
      <w:r w:rsidRPr="00DE0F43">
        <w:rPr>
          <w:szCs w:val="24"/>
        </w:rPr>
        <w:t xml:space="preserve"> </w:t>
      </w:r>
    </w:p>
    <w:p w14:paraId="528A250C" w14:textId="77777777" w:rsidR="00AD5D3F" w:rsidRPr="00DE0F43" w:rsidRDefault="00AD5D3F" w:rsidP="00AD5D3F">
      <w:pPr>
        <w:pStyle w:val="EndNoteBibliography"/>
        <w:spacing w:after="240"/>
        <w:ind w:left="720" w:hanging="720"/>
        <w:rPr>
          <w:szCs w:val="24"/>
        </w:rPr>
      </w:pPr>
      <w:r w:rsidRPr="00DE0F43">
        <w:rPr>
          <w:szCs w:val="24"/>
        </w:rPr>
        <w:t xml:space="preserve">Pozzebon, M., &amp; Van Heck, E. (2006). Local adaptations of generic application systems: the case of Veiling Holambra in Brazil. </w:t>
      </w:r>
      <w:r w:rsidRPr="00DE0F43">
        <w:rPr>
          <w:i/>
          <w:szCs w:val="24"/>
        </w:rPr>
        <w:t>Journal of Information Technology</w:t>
      </w:r>
      <w:r w:rsidRPr="00DE0F43">
        <w:rPr>
          <w:szCs w:val="24"/>
        </w:rPr>
        <w:t>,</w:t>
      </w:r>
      <w:r w:rsidRPr="00DE0F43">
        <w:rPr>
          <w:i/>
          <w:szCs w:val="24"/>
        </w:rPr>
        <w:t xml:space="preserve"> 21</w:t>
      </w:r>
      <w:r w:rsidRPr="00DE0F43">
        <w:rPr>
          <w:szCs w:val="24"/>
        </w:rPr>
        <w:t xml:space="preserve">(2), 73-85. </w:t>
      </w:r>
    </w:p>
    <w:p w14:paraId="18BC2B35" w14:textId="5145168E" w:rsidR="00AD5D3F" w:rsidRPr="00DE0F43" w:rsidRDefault="00AD5D3F" w:rsidP="00AD5D3F">
      <w:pPr>
        <w:pStyle w:val="EndNoteBibliography"/>
        <w:spacing w:after="240"/>
        <w:ind w:left="720" w:hanging="720"/>
        <w:rPr>
          <w:szCs w:val="24"/>
        </w:rPr>
      </w:pPr>
      <w:r w:rsidRPr="00DE0F43">
        <w:rPr>
          <w:szCs w:val="24"/>
        </w:rPr>
        <w:lastRenderedPageBreak/>
        <w:t xml:space="preserve">Puri, S. K. (2007). Intergrating scientific with indigenous knowledge: constructing knowledge alliances for land management in India </w:t>
      </w:r>
      <w:r w:rsidRPr="00DE0F43">
        <w:rPr>
          <w:i/>
          <w:szCs w:val="24"/>
        </w:rPr>
        <w:t>MIS Quarterly</w:t>
      </w:r>
      <w:r w:rsidRPr="00DE0F43">
        <w:rPr>
          <w:szCs w:val="24"/>
        </w:rPr>
        <w:t>,</w:t>
      </w:r>
      <w:r w:rsidRPr="00DE0F43">
        <w:rPr>
          <w:i/>
          <w:szCs w:val="24"/>
        </w:rPr>
        <w:t xml:space="preserve"> 31</w:t>
      </w:r>
      <w:r w:rsidRPr="00DE0F43">
        <w:rPr>
          <w:szCs w:val="24"/>
        </w:rPr>
        <w:t xml:space="preserve">(2), 355-379. </w:t>
      </w:r>
      <w:r w:rsidRPr="001C56A3">
        <w:rPr>
          <w:szCs w:val="24"/>
        </w:rPr>
        <w:t>https://doi.org/10.2307/25148795</w:t>
      </w:r>
      <w:r w:rsidRPr="00DE0F43">
        <w:rPr>
          <w:szCs w:val="24"/>
        </w:rPr>
        <w:t xml:space="preserve"> </w:t>
      </w:r>
    </w:p>
    <w:p w14:paraId="05D24EAC" w14:textId="77AE05EF" w:rsidR="00AD5D3F" w:rsidRPr="00DE0F43" w:rsidRDefault="00AD5D3F" w:rsidP="00AD5D3F">
      <w:pPr>
        <w:pStyle w:val="EndNoteBibliography"/>
        <w:spacing w:after="240"/>
        <w:ind w:left="720" w:hanging="720"/>
        <w:rPr>
          <w:szCs w:val="24"/>
        </w:rPr>
      </w:pPr>
      <w:r w:rsidRPr="00DE0F43">
        <w:rPr>
          <w:szCs w:val="24"/>
        </w:rPr>
        <w:t xml:space="preserve">Rana, T., Ray, H., &amp; Takao, M. (2019). Evaluating digital public services: A contingency value approach within three exemplar developing countries </w:t>
      </w:r>
      <w:r w:rsidRPr="00DE0F43">
        <w:rPr>
          <w:i/>
          <w:szCs w:val="24"/>
        </w:rPr>
        <w:t>Information Technology &amp; People</w:t>
      </w:r>
      <w:r w:rsidRPr="00DE0F43">
        <w:rPr>
          <w:szCs w:val="24"/>
        </w:rPr>
        <w:t>,</w:t>
      </w:r>
      <w:r w:rsidRPr="00DE0F43">
        <w:rPr>
          <w:i/>
          <w:szCs w:val="24"/>
        </w:rPr>
        <w:t xml:space="preserve"> 32</w:t>
      </w:r>
      <w:r w:rsidRPr="00DE0F43">
        <w:rPr>
          <w:szCs w:val="24"/>
        </w:rPr>
        <w:t xml:space="preserve">(4),1021-1043. </w:t>
      </w:r>
      <w:r w:rsidRPr="001C56A3">
        <w:rPr>
          <w:szCs w:val="24"/>
        </w:rPr>
        <w:t>https://doi.org/10.1108/ITP-08-2017-0260</w:t>
      </w:r>
      <w:r w:rsidRPr="00DE0F43">
        <w:rPr>
          <w:szCs w:val="24"/>
        </w:rPr>
        <w:t xml:space="preserve"> </w:t>
      </w:r>
    </w:p>
    <w:p w14:paraId="7020DBB9" w14:textId="40615BBB" w:rsidR="00AD5D3F" w:rsidRPr="00DE0F43" w:rsidRDefault="00AD5D3F" w:rsidP="00AD5D3F">
      <w:pPr>
        <w:pStyle w:val="EndNoteBibliography"/>
        <w:spacing w:after="240"/>
        <w:ind w:left="720" w:hanging="720"/>
        <w:rPr>
          <w:szCs w:val="24"/>
        </w:rPr>
      </w:pPr>
      <w:r w:rsidRPr="00DE0F43">
        <w:rPr>
          <w:szCs w:val="24"/>
        </w:rPr>
        <w:t xml:space="preserve">Rebne, D. S., &amp; Berger Davidson, N. (1992). Understanding Patterns of Publishing Activity in Academic Research Occupations </w:t>
      </w:r>
      <w:r w:rsidRPr="00DE0F43">
        <w:rPr>
          <w:i/>
          <w:szCs w:val="24"/>
        </w:rPr>
        <w:t>Decision Sciences</w:t>
      </w:r>
      <w:r w:rsidRPr="00DE0F43">
        <w:rPr>
          <w:szCs w:val="24"/>
        </w:rPr>
        <w:t>,</w:t>
      </w:r>
      <w:r w:rsidRPr="00DE0F43">
        <w:rPr>
          <w:i/>
          <w:szCs w:val="24"/>
        </w:rPr>
        <w:t xml:space="preserve"> 23</w:t>
      </w:r>
      <w:r w:rsidRPr="00DE0F43">
        <w:rPr>
          <w:szCs w:val="24"/>
        </w:rPr>
        <w:t xml:space="preserve">(4), 944-956. </w:t>
      </w:r>
      <w:r w:rsidRPr="001C56A3">
        <w:rPr>
          <w:szCs w:val="24"/>
        </w:rPr>
        <w:t>https://doi.org/10.1111/j.1540-5915.1992.tb00427.x</w:t>
      </w:r>
      <w:r w:rsidRPr="00DE0F43">
        <w:rPr>
          <w:szCs w:val="24"/>
        </w:rPr>
        <w:t xml:space="preserve"> </w:t>
      </w:r>
    </w:p>
    <w:p w14:paraId="379A2DBC" w14:textId="77777777" w:rsidR="00AD5D3F" w:rsidRPr="00DE0F43" w:rsidRDefault="00AD5D3F" w:rsidP="00AD5D3F">
      <w:pPr>
        <w:pStyle w:val="EndNoteBibliography"/>
        <w:spacing w:after="240"/>
        <w:ind w:left="720" w:hanging="720"/>
        <w:rPr>
          <w:szCs w:val="24"/>
        </w:rPr>
      </w:pPr>
      <w:r w:rsidRPr="00DE0F43">
        <w:rPr>
          <w:szCs w:val="24"/>
        </w:rPr>
        <w:t xml:space="preserve">Ren, Y., Kiesler, S., &amp; Fussell, S. R. (2008). Multiple group coordination in complex and dynamic task environments: Interruptions, coping mechanisms, and technology recommendations. </w:t>
      </w:r>
      <w:r w:rsidRPr="00DE0F43">
        <w:rPr>
          <w:i/>
          <w:szCs w:val="24"/>
        </w:rPr>
        <w:t>Journal of Management Information Systems</w:t>
      </w:r>
      <w:r w:rsidRPr="00DE0F43">
        <w:rPr>
          <w:szCs w:val="24"/>
        </w:rPr>
        <w:t>,</w:t>
      </w:r>
      <w:r w:rsidRPr="00DE0F43">
        <w:rPr>
          <w:i/>
          <w:szCs w:val="24"/>
        </w:rPr>
        <w:t xml:space="preserve"> 25</w:t>
      </w:r>
      <w:r w:rsidRPr="00DE0F43">
        <w:rPr>
          <w:szCs w:val="24"/>
        </w:rPr>
        <w:t xml:space="preserve">(1), 105-130. </w:t>
      </w:r>
    </w:p>
    <w:p w14:paraId="30D963EF" w14:textId="7208DB37" w:rsidR="00AD5D3F" w:rsidRPr="00DE0F43" w:rsidRDefault="00AD5D3F" w:rsidP="00AD5D3F">
      <w:pPr>
        <w:pStyle w:val="EndNoteBibliography"/>
        <w:spacing w:after="240"/>
        <w:ind w:left="720" w:hanging="720"/>
        <w:rPr>
          <w:szCs w:val="24"/>
        </w:rPr>
      </w:pPr>
      <w:r w:rsidRPr="00DE0F43">
        <w:rPr>
          <w:szCs w:val="24"/>
        </w:rPr>
        <w:t xml:space="preserve">Renkema, T. J. W. (1998). The four P's revisited: business value assessment of the infrastructure impact of IT investments </w:t>
      </w:r>
      <w:r w:rsidRPr="00DE0F43">
        <w:rPr>
          <w:i/>
          <w:szCs w:val="24"/>
        </w:rPr>
        <w:t>Journal of Information Technology</w:t>
      </w:r>
      <w:r w:rsidRPr="00DE0F43">
        <w:rPr>
          <w:szCs w:val="24"/>
        </w:rPr>
        <w:t>,</w:t>
      </w:r>
      <w:r w:rsidRPr="00DE0F43">
        <w:rPr>
          <w:i/>
          <w:szCs w:val="24"/>
        </w:rPr>
        <w:t xml:space="preserve"> 13</w:t>
      </w:r>
      <w:r w:rsidRPr="00DE0F43">
        <w:rPr>
          <w:szCs w:val="24"/>
        </w:rPr>
        <w:t xml:space="preserve">(3), 181-190. </w:t>
      </w:r>
      <w:r w:rsidRPr="001C56A3">
        <w:rPr>
          <w:szCs w:val="24"/>
        </w:rPr>
        <w:t>https://doi.org/10.1177/026839629801300304</w:t>
      </w:r>
      <w:r w:rsidRPr="00DE0F43">
        <w:rPr>
          <w:szCs w:val="24"/>
        </w:rPr>
        <w:t xml:space="preserve"> </w:t>
      </w:r>
    </w:p>
    <w:p w14:paraId="1EDB8B1D" w14:textId="58CEB55B" w:rsidR="00AD5D3F" w:rsidRPr="00DE0F43" w:rsidRDefault="00AD5D3F" w:rsidP="00AD5D3F">
      <w:pPr>
        <w:pStyle w:val="EndNoteBibliography"/>
        <w:spacing w:after="240"/>
        <w:ind w:left="720" w:hanging="720"/>
        <w:rPr>
          <w:szCs w:val="24"/>
        </w:rPr>
      </w:pPr>
      <w:r w:rsidRPr="00DE0F43">
        <w:rPr>
          <w:szCs w:val="24"/>
        </w:rPr>
        <w:t xml:space="preserve">Reychav, I., Warkentin, M., &amp; Ndicu, M. (2016). Tablet Adoption with Smart School Website Technology </w:t>
      </w:r>
      <w:r w:rsidRPr="00DE0F43">
        <w:rPr>
          <w:i/>
          <w:szCs w:val="24"/>
        </w:rPr>
        <w:t>Journal of Computer Information Systems</w:t>
      </w:r>
      <w:r w:rsidRPr="00DE0F43">
        <w:rPr>
          <w:szCs w:val="24"/>
        </w:rPr>
        <w:t>,</w:t>
      </w:r>
      <w:r w:rsidRPr="00DE0F43">
        <w:rPr>
          <w:i/>
          <w:szCs w:val="24"/>
        </w:rPr>
        <w:t xml:space="preserve"> 56</w:t>
      </w:r>
      <w:r w:rsidRPr="00DE0F43">
        <w:rPr>
          <w:szCs w:val="24"/>
        </w:rPr>
        <w:t xml:space="preserve">(4), 280-287. </w:t>
      </w:r>
      <w:r w:rsidRPr="001C56A3">
        <w:rPr>
          <w:szCs w:val="24"/>
        </w:rPr>
        <w:t>https://doi.org/10.1080/08874417.2016.1163996</w:t>
      </w:r>
      <w:r w:rsidRPr="00DE0F43">
        <w:rPr>
          <w:szCs w:val="24"/>
        </w:rPr>
        <w:t xml:space="preserve"> </w:t>
      </w:r>
    </w:p>
    <w:p w14:paraId="67748F5B" w14:textId="0D103EF3" w:rsidR="00AD5D3F" w:rsidRPr="00DE0F43" w:rsidRDefault="00AD5D3F" w:rsidP="00AD5D3F">
      <w:pPr>
        <w:pStyle w:val="EndNoteBibliography"/>
        <w:spacing w:after="240"/>
        <w:ind w:left="720" w:hanging="720"/>
        <w:rPr>
          <w:szCs w:val="24"/>
        </w:rPr>
      </w:pPr>
      <w:r w:rsidRPr="00DE0F43">
        <w:rPr>
          <w:szCs w:val="24"/>
        </w:rPr>
        <w:t xml:space="preserve">Ridings, C., &amp; Wasko, M. (2010). Online discussion group sustainability: Investigating the interplay between structural dynamics and social dynamics over time </w:t>
      </w:r>
      <w:r w:rsidRPr="00DE0F43">
        <w:rPr>
          <w:i/>
          <w:szCs w:val="24"/>
        </w:rPr>
        <w:t>Journal of the Association for Information Systems</w:t>
      </w:r>
      <w:r w:rsidRPr="00DE0F43">
        <w:rPr>
          <w:szCs w:val="24"/>
        </w:rPr>
        <w:t>,</w:t>
      </w:r>
      <w:r w:rsidRPr="00DE0F43">
        <w:rPr>
          <w:i/>
          <w:szCs w:val="24"/>
        </w:rPr>
        <w:t xml:space="preserve"> 11</w:t>
      </w:r>
      <w:r w:rsidRPr="00DE0F43">
        <w:rPr>
          <w:szCs w:val="24"/>
        </w:rPr>
        <w:t xml:space="preserve">(2), 95-120. </w:t>
      </w:r>
    </w:p>
    <w:p w14:paraId="7DAC7C42" w14:textId="434BB06B" w:rsidR="00AD5D3F" w:rsidRPr="00DE0F43" w:rsidRDefault="00AD5D3F" w:rsidP="00AD5D3F">
      <w:pPr>
        <w:pStyle w:val="EndNoteBibliography"/>
        <w:spacing w:after="240"/>
        <w:ind w:left="720" w:hanging="720"/>
        <w:rPr>
          <w:szCs w:val="24"/>
        </w:rPr>
      </w:pPr>
      <w:r w:rsidRPr="00DE0F43">
        <w:rPr>
          <w:szCs w:val="24"/>
        </w:rPr>
        <w:t xml:space="preserve">Riemer, K., &amp; Johnston, R. B. (2014). Rethinking the place of the artefact in IS using Heidegger's analysis of equipment </w:t>
      </w:r>
      <w:r w:rsidRPr="00DE0F43">
        <w:rPr>
          <w:i/>
          <w:szCs w:val="24"/>
        </w:rPr>
        <w:t>European Journal of Information Systems</w:t>
      </w:r>
      <w:r w:rsidRPr="00DE0F43">
        <w:rPr>
          <w:szCs w:val="24"/>
        </w:rPr>
        <w:t>,</w:t>
      </w:r>
      <w:r w:rsidRPr="00DE0F43">
        <w:rPr>
          <w:i/>
          <w:szCs w:val="24"/>
        </w:rPr>
        <w:t xml:space="preserve"> 23</w:t>
      </w:r>
      <w:r w:rsidRPr="00DE0F43">
        <w:rPr>
          <w:szCs w:val="24"/>
        </w:rPr>
        <w:t xml:space="preserve">(3), 273-288. </w:t>
      </w:r>
      <w:r w:rsidRPr="001C56A3">
        <w:rPr>
          <w:szCs w:val="24"/>
        </w:rPr>
        <w:t>https://doi.org/10.1057/ejis.2013.5</w:t>
      </w:r>
      <w:r w:rsidRPr="00DE0F43">
        <w:rPr>
          <w:szCs w:val="24"/>
        </w:rPr>
        <w:t xml:space="preserve"> </w:t>
      </w:r>
    </w:p>
    <w:p w14:paraId="5D27E6E3" w14:textId="49BBBEEE" w:rsidR="00AD5D3F" w:rsidRPr="00DE0F43" w:rsidRDefault="00AD5D3F" w:rsidP="00AD5D3F">
      <w:pPr>
        <w:pStyle w:val="EndNoteBibliography"/>
        <w:spacing w:after="240"/>
        <w:ind w:left="720" w:hanging="720"/>
        <w:rPr>
          <w:szCs w:val="24"/>
        </w:rPr>
      </w:pPr>
      <w:r w:rsidRPr="00DE0F43">
        <w:rPr>
          <w:szCs w:val="24"/>
        </w:rPr>
        <w:t xml:space="preserve">Rohde, M., Brödner, P., Stevens, G., Betz, M., &amp; Wulf, V. (2017). Grounded Design - a praxeological IS research perspective </w:t>
      </w:r>
      <w:r w:rsidRPr="00DE0F43">
        <w:rPr>
          <w:i/>
          <w:szCs w:val="24"/>
        </w:rPr>
        <w:t>Journal of Information Technology</w:t>
      </w:r>
      <w:r w:rsidRPr="00DE0F43">
        <w:rPr>
          <w:szCs w:val="24"/>
        </w:rPr>
        <w:t>,</w:t>
      </w:r>
      <w:r w:rsidRPr="00DE0F43">
        <w:rPr>
          <w:i/>
          <w:szCs w:val="24"/>
        </w:rPr>
        <w:t xml:space="preserve"> 32</w:t>
      </w:r>
      <w:r w:rsidRPr="00DE0F43">
        <w:rPr>
          <w:szCs w:val="24"/>
        </w:rPr>
        <w:t xml:space="preserve">(2), 163-179. </w:t>
      </w:r>
      <w:r w:rsidRPr="001C56A3">
        <w:rPr>
          <w:szCs w:val="24"/>
        </w:rPr>
        <w:t>https://doi.org/10.1057/jit.2016.5</w:t>
      </w:r>
      <w:r w:rsidRPr="00DE0F43">
        <w:rPr>
          <w:szCs w:val="24"/>
        </w:rPr>
        <w:t xml:space="preserve"> </w:t>
      </w:r>
    </w:p>
    <w:p w14:paraId="5ED1767E" w14:textId="35F956A5" w:rsidR="00AD5D3F" w:rsidRPr="00DE0F43" w:rsidRDefault="00AD5D3F" w:rsidP="00AD5D3F">
      <w:pPr>
        <w:pStyle w:val="EndNoteBibliography"/>
        <w:spacing w:after="240"/>
        <w:ind w:left="720" w:hanging="720"/>
        <w:rPr>
          <w:szCs w:val="24"/>
        </w:rPr>
      </w:pPr>
      <w:r w:rsidRPr="00DE0F43">
        <w:rPr>
          <w:szCs w:val="24"/>
        </w:rPr>
        <w:t xml:space="preserve">Rowlands, B. (2009). A social actor understanding. of the institutional structures at play in information systems development. </w:t>
      </w:r>
      <w:r w:rsidRPr="00DE0F43">
        <w:rPr>
          <w:i/>
          <w:szCs w:val="24"/>
        </w:rPr>
        <w:t>Information Technology &amp; People</w:t>
      </w:r>
      <w:r w:rsidRPr="00DE0F43">
        <w:rPr>
          <w:szCs w:val="24"/>
        </w:rPr>
        <w:t>,</w:t>
      </w:r>
      <w:r w:rsidRPr="00DE0F43">
        <w:rPr>
          <w:i/>
          <w:szCs w:val="24"/>
        </w:rPr>
        <w:t xml:space="preserve"> 22</w:t>
      </w:r>
      <w:r w:rsidRPr="00DE0F43">
        <w:rPr>
          <w:szCs w:val="24"/>
        </w:rPr>
        <w:t xml:space="preserve">(1), 51. </w:t>
      </w:r>
    </w:p>
    <w:p w14:paraId="24BBAC6C" w14:textId="429883EE" w:rsidR="00AD5D3F" w:rsidRPr="00DE0F43" w:rsidRDefault="00AD5D3F" w:rsidP="00AD5D3F">
      <w:pPr>
        <w:pStyle w:val="EndNoteBibliography"/>
        <w:spacing w:after="240"/>
        <w:ind w:left="720" w:hanging="720"/>
        <w:rPr>
          <w:szCs w:val="24"/>
        </w:rPr>
      </w:pPr>
      <w:r w:rsidRPr="00DE0F43">
        <w:rPr>
          <w:szCs w:val="24"/>
        </w:rPr>
        <w:t xml:space="preserve">Safa, N. S., Sookhak, M., Von Solms, R., Furnell, S., Ghani, N. A., &amp; Herawan, T. (2015). Information security conscious care behaviour formation in organizations </w:t>
      </w:r>
      <w:r w:rsidRPr="00DE0F43">
        <w:rPr>
          <w:i/>
          <w:szCs w:val="24"/>
        </w:rPr>
        <w:t>Computers &amp; Security</w:t>
      </w:r>
      <w:r w:rsidRPr="00DE0F43">
        <w:rPr>
          <w:szCs w:val="24"/>
        </w:rPr>
        <w:t>,</w:t>
      </w:r>
      <w:r w:rsidRPr="00DE0F43">
        <w:rPr>
          <w:i/>
          <w:szCs w:val="24"/>
        </w:rPr>
        <w:t xml:space="preserve"> 53</w:t>
      </w:r>
      <w:r w:rsidRPr="00DE0F43">
        <w:rPr>
          <w:szCs w:val="24"/>
        </w:rPr>
        <w:t xml:space="preserve">, 65-78. </w:t>
      </w:r>
      <w:r w:rsidRPr="001C56A3">
        <w:rPr>
          <w:szCs w:val="24"/>
        </w:rPr>
        <w:t>https://doi.org/10.1016/j.cose.2015.05.012</w:t>
      </w:r>
      <w:r w:rsidRPr="00DE0F43">
        <w:rPr>
          <w:szCs w:val="24"/>
        </w:rPr>
        <w:t xml:space="preserve"> </w:t>
      </w:r>
    </w:p>
    <w:p w14:paraId="4ED26D3F" w14:textId="77777777" w:rsidR="00AD5D3F" w:rsidRPr="00DE0F43" w:rsidRDefault="00AD5D3F" w:rsidP="00AD5D3F">
      <w:pPr>
        <w:pStyle w:val="EndNoteBibliography"/>
        <w:spacing w:after="240"/>
        <w:ind w:left="720" w:hanging="720"/>
        <w:rPr>
          <w:szCs w:val="24"/>
        </w:rPr>
      </w:pPr>
      <w:r w:rsidRPr="00DE0F43">
        <w:rPr>
          <w:szCs w:val="24"/>
        </w:rPr>
        <w:t xml:space="preserve">Salo, M., Pirkkalainen, H., &amp; Koskelainen, T. (2019). Technostress and social networking services: Explaining users' concentration, sleep, identity, and social relation problems. </w:t>
      </w:r>
      <w:r w:rsidRPr="00DE0F43">
        <w:rPr>
          <w:i/>
          <w:szCs w:val="24"/>
        </w:rPr>
        <w:t>Information Systems Journal</w:t>
      </w:r>
      <w:r w:rsidRPr="00DE0F43">
        <w:rPr>
          <w:szCs w:val="24"/>
        </w:rPr>
        <w:t>,</w:t>
      </w:r>
      <w:r w:rsidRPr="00DE0F43">
        <w:rPr>
          <w:i/>
          <w:szCs w:val="24"/>
        </w:rPr>
        <w:t xml:space="preserve"> 29</w:t>
      </w:r>
      <w:r w:rsidRPr="00DE0F43">
        <w:rPr>
          <w:szCs w:val="24"/>
        </w:rPr>
        <w:t xml:space="preserve">(2), 408-435. </w:t>
      </w:r>
    </w:p>
    <w:p w14:paraId="79B5E4B2" w14:textId="77777777" w:rsidR="00AD5D3F" w:rsidRPr="00DE0F43" w:rsidRDefault="00AD5D3F" w:rsidP="00AD5D3F">
      <w:pPr>
        <w:pStyle w:val="EndNoteBibliography"/>
        <w:spacing w:after="240"/>
        <w:ind w:left="720" w:hanging="720"/>
        <w:rPr>
          <w:szCs w:val="24"/>
        </w:rPr>
      </w:pPr>
      <w:r w:rsidRPr="00DE0F43">
        <w:rPr>
          <w:szCs w:val="24"/>
        </w:rPr>
        <w:lastRenderedPageBreak/>
        <w:t xml:space="preserve">Scherer, A., Wünderlich, N. V., &amp; Wangenheim, F. V. (2015). The value of self-service: long-term effects of technology-based self-service usage on customer retention. </w:t>
      </w:r>
      <w:r w:rsidRPr="00DE0F43">
        <w:rPr>
          <w:i/>
          <w:szCs w:val="24"/>
        </w:rPr>
        <w:t>MIS Quarterly</w:t>
      </w:r>
      <w:r w:rsidRPr="00DE0F43">
        <w:rPr>
          <w:szCs w:val="24"/>
        </w:rPr>
        <w:t>,</w:t>
      </w:r>
      <w:r w:rsidRPr="00DE0F43">
        <w:rPr>
          <w:i/>
          <w:szCs w:val="24"/>
        </w:rPr>
        <w:t xml:space="preserve"> 39</w:t>
      </w:r>
      <w:r w:rsidRPr="00DE0F43">
        <w:rPr>
          <w:szCs w:val="24"/>
        </w:rPr>
        <w:t xml:space="preserve">(1), 177-200. </w:t>
      </w:r>
    </w:p>
    <w:p w14:paraId="5213868F" w14:textId="77777777" w:rsidR="00AD5D3F" w:rsidRPr="00DE0F43" w:rsidRDefault="00AD5D3F" w:rsidP="00AD5D3F">
      <w:pPr>
        <w:pStyle w:val="EndNoteBibliography"/>
        <w:spacing w:after="240"/>
        <w:ind w:left="720" w:hanging="720"/>
        <w:rPr>
          <w:szCs w:val="24"/>
        </w:rPr>
      </w:pPr>
      <w:r w:rsidRPr="00DE0F43">
        <w:rPr>
          <w:szCs w:val="24"/>
        </w:rPr>
        <w:t xml:space="preserve">Schneider, C., Hardin, A., &amp; Davison, R. M. (2020). On tailoring and hand‐me‐downs. </w:t>
      </w:r>
      <w:r w:rsidRPr="00DE0F43">
        <w:rPr>
          <w:i/>
          <w:szCs w:val="24"/>
        </w:rPr>
        <w:t>Information Systems Journal</w:t>
      </w:r>
      <w:r w:rsidRPr="00DE0F43">
        <w:rPr>
          <w:szCs w:val="24"/>
        </w:rPr>
        <w:t>,</w:t>
      </w:r>
      <w:r w:rsidRPr="00DE0F43">
        <w:rPr>
          <w:i/>
          <w:szCs w:val="24"/>
        </w:rPr>
        <w:t xml:space="preserve"> 30</w:t>
      </w:r>
      <w:r w:rsidRPr="00DE0F43">
        <w:rPr>
          <w:szCs w:val="24"/>
        </w:rPr>
        <w:t xml:space="preserve">(3), 427-430. </w:t>
      </w:r>
    </w:p>
    <w:p w14:paraId="521E0C91" w14:textId="700A28A2" w:rsidR="00AD5D3F" w:rsidRPr="00DE0F43" w:rsidRDefault="00AD5D3F" w:rsidP="00AD5D3F">
      <w:pPr>
        <w:pStyle w:val="EndNoteBibliography"/>
        <w:spacing w:after="240"/>
        <w:ind w:left="720" w:hanging="720"/>
        <w:rPr>
          <w:szCs w:val="24"/>
        </w:rPr>
      </w:pPr>
      <w:r w:rsidRPr="00DE0F43">
        <w:rPr>
          <w:szCs w:val="24"/>
        </w:rPr>
        <w:t xml:space="preserve">Schultz, E. E., Proctor, R. W., Mei-Ching, L., &amp; Salvendy, G. (2001). Usability and Security An Appraisal of Usability Issues in Information Security Methods </w:t>
      </w:r>
      <w:r w:rsidRPr="00DE0F43">
        <w:rPr>
          <w:i/>
          <w:szCs w:val="24"/>
        </w:rPr>
        <w:t>Computers &amp; Security</w:t>
      </w:r>
      <w:r w:rsidRPr="00DE0F43">
        <w:rPr>
          <w:szCs w:val="24"/>
        </w:rPr>
        <w:t>,</w:t>
      </w:r>
      <w:r w:rsidRPr="00DE0F43">
        <w:rPr>
          <w:i/>
          <w:szCs w:val="24"/>
        </w:rPr>
        <w:t xml:space="preserve"> 20</w:t>
      </w:r>
      <w:r w:rsidRPr="00DE0F43">
        <w:rPr>
          <w:szCs w:val="24"/>
        </w:rPr>
        <w:t xml:space="preserve">(7), 620. </w:t>
      </w:r>
      <w:r w:rsidRPr="001C56A3">
        <w:rPr>
          <w:szCs w:val="24"/>
        </w:rPr>
        <w:t>https://doi.org/10.1016/S0167-4048(01)00712-X</w:t>
      </w:r>
      <w:r w:rsidRPr="00DE0F43">
        <w:rPr>
          <w:szCs w:val="24"/>
        </w:rPr>
        <w:t xml:space="preserve"> </w:t>
      </w:r>
    </w:p>
    <w:p w14:paraId="65D4F0BD" w14:textId="77777777" w:rsidR="00AD5D3F" w:rsidRPr="00DE0F43" w:rsidRDefault="00AD5D3F" w:rsidP="00AD5D3F">
      <w:pPr>
        <w:pStyle w:val="EndNoteBibliography"/>
        <w:spacing w:after="240"/>
        <w:ind w:left="720" w:hanging="720"/>
        <w:rPr>
          <w:szCs w:val="24"/>
        </w:rPr>
      </w:pPr>
      <w:r w:rsidRPr="00DE0F43">
        <w:rPr>
          <w:szCs w:val="24"/>
        </w:rPr>
        <w:t xml:space="preserve">Schultze, U. (2012). Will making the world better through ICT make the IS field better off? </w:t>
      </w:r>
      <w:r w:rsidRPr="00DE0F43">
        <w:rPr>
          <w:i/>
          <w:szCs w:val="24"/>
        </w:rPr>
        <w:t>Journal of Information Technology</w:t>
      </w:r>
      <w:r w:rsidRPr="00DE0F43">
        <w:rPr>
          <w:szCs w:val="24"/>
        </w:rPr>
        <w:t>,</w:t>
      </w:r>
      <w:r w:rsidRPr="00DE0F43">
        <w:rPr>
          <w:i/>
          <w:szCs w:val="24"/>
        </w:rPr>
        <w:t xml:space="preserve"> 27</w:t>
      </w:r>
      <w:r w:rsidRPr="00DE0F43">
        <w:rPr>
          <w:szCs w:val="24"/>
        </w:rPr>
        <w:t xml:space="preserve">(2), 108-109. </w:t>
      </w:r>
      <w:r w:rsidRPr="001C56A3">
        <w:rPr>
          <w:szCs w:val="24"/>
        </w:rPr>
        <w:t>https://doi.org/10.1057/jit.2012.8</w:t>
      </w:r>
      <w:r w:rsidRPr="00DE0F43">
        <w:rPr>
          <w:szCs w:val="24"/>
        </w:rPr>
        <w:t xml:space="preserve"> </w:t>
      </w:r>
    </w:p>
    <w:p w14:paraId="3524693D" w14:textId="50C5D3A0" w:rsidR="00AD5D3F" w:rsidRPr="00DE0F43" w:rsidRDefault="00AD5D3F" w:rsidP="00AD5D3F">
      <w:pPr>
        <w:pStyle w:val="EndNoteBibliography"/>
        <w:spacing w:after="240"/>
        <w:ind w:left="720" w:hanging="720"/>
        <w:rPr>
          <w:szCs w:val="24"/>
        </w:rPr>
      </w:pPr>
      <w:r w:rsidRPr="00DE0F43">
        <w:rPr>
          <w:szCs w:val="24"/>
        </w:rPr>
        <w:t xml:space="preserve">Sharma, S., &amp; Rai, A. (2015). Adopting IS process innovations in organizations: the role of IS leaders' individual factors and technology perceptions in decision making </w:t>
      </w:r>
      <w:r w:rsidRPr="00DE0F43">
        <w:rPr>
          <w:i/>
          <w:szCs w:val="24"/>
        </w:rPr>
        <w:t>European Journal of Information Systems</w:t>
      </w:r>
      <w:r w:rsidRPr="00DE0F43">
        <w:rPr>
          <w:szCs w:val="24"/>
        </w:rPr>
        <w:t>,</w:t>
      </w:r>
      <w:r w:rsidRPr="00DE0F43">
        <w:rPr>
          <w:i/>
          <w:szCs w:val="24"/>
        </w:rPr>
        <w:t xml:space="preserve"> 24</w:t>
      </w:r>
      <w:r w:rsidRPr="00DE0F43">
        <w:rPr>
          <w:szCs w:val="24"/>
        </w:rPr>
        <w:t xml:space="preserve">(1), 23-37. </w:t>
      </w:r>
      <w:r w:rsidRPr="001C56A3">
        <w:rPr>
          <w:szCs w:val="24"/>
        </w:rPr>
        <w:t>https://doi.org/10.1057/ejis.2013.24</w:t>
      </w:r>
      <w:r w:rsidRPr="00DE0F43">
        <w:rPr>
          <w:szCs w:val="24"/>
        </w:rPr>
        <w:t xml:space="preserve"> </w:t>
      </w:r>
    </w:p>
    <w:p w14:paraId="50E61630" w14:textId="397DB755" w:rsidR="00AD5D3F" w:rsidRPr="00DE0F43" w:rsidRDefault="00AD5D3F" w:rsidP="00AD5D3F">
      <w:pPr>
        <w:pStyle w:val="EndNoteBibliography"/>
        <w:spacing w:after="240"/>
        <w:ind w:left="720" w:hanging="720"/>
        <w:rPr>
          <w:szCs w:val="24"/>
        </w:rPr>
      </w:pPr>
      <w:r w:rsidRPr="00DE0F43">
        <w:rPr>
          <w:szCs w:val="24"/>
        </w:rPr>
        <w:t xml:space="preserve">Shoib, G., &amp; Nandhakumar, J. (2009). Guest editorial. </w:t>
      </w:r>
      <w:r w:rsidRPr="00DE0F43">
        <w:rPr>
          <w:i/>
          <w:szCs w:val="24"/>
        </w:rPr>
        <w:t>Information Technology &amp; People</w:t>
      </w:r>
      <w:r w:rsidRPr="00DE0F43">
        <w:rPr>
          <w:szCs w:val="24"/>
        </w:rPr>
        <w:t>,</w:t>
      </w:r>
      <w:r w:rsidRPr="00DE0F43">
        <w:rPr>
          <w:i/>
          <w:szCs w:val="24"/>
        </w:rPr>
        <w:t xml:space="preserve"> 22</w:t>
      </w:r>
      <w:r w:rsidRPr="00DE0F43">
        <w:rPr>
          <w:szCs w:val="24"/>
        </w:rPr>
        <w:t xml:space="preserve">(1), 5. </w:t>
      </w:r>
    </w:p>
    <w:p w14:paraId="25EDFECA" w14:textId="77777777" w:rsidR="00AD5D3F" w:rsidRPr="00DE0F43" w:rsidRDefault="00AD5D3F" w:rsidP="00AD5D3F">
      <w:pPr>
        <w:pStyle w:val="EndNoteBibliography"/>
        <w:spacing w:after="240"/>
        <w:ind w:left="720" w:hanging="720"/>
        <w:rPr>
          <w:szCs w:val="24"/>
        </w:rPr>
      </w:pPr>
      <w:r w:rsidRPr="00DE0F43">
        <w:rPr>
          <w:szCs w:val="24"/>
        </w:rPr>
        <w:t xml:space="preserve">Silic, M., &amp; Lowry, P. B. (2020). Using Design-Science Based Gamification to Improve Organizational Security Training and Compliance. </w:t>
      </w:r>
      <w:r w:rsidRPr="00DE0F43">
        <w:rPr>
          <w:i/>
          <w:szCs w:val="24"/>
        </w:rPr>
        <w:t>Journal of Management Information Systems</w:t>
      </w:r>
      <w:r w:rsidRPr="00DE0F43">
        <w:rPr>
          <w:szCs w:val="24"/>
        </w:rPr>
        <w:t>,</w:t>
      </w:r>
      <w:r w:rsidRPr="00DE0F43">
        <w:rPr>
          <w:i/>
          <w:szCs w:val="24"/>
        </w:rPr>
        <w:t xml:space="preserve"> 37</w:t>
      </w:r>
      <w:r w:rsidRPr="00DE0F43">
        <w:rPr>
          <w:szCs w:val="24"/>
        </w:rPr>
        <w:t xml:space="preserve">(1), 129-161. </w:t>
      </w:r>
    </w:p>
    <w:p w14:paraId="5B0A57ED" w14:textId="5B2E687C" w:rsidR="00AD5D3F" w:rsidRPr="00DE0F43" w:rsidRDefault="00AD5D3F" w:rsidP="00AD5D3F">
      <w:pPr>
        <w:pStyle w:val="EndNoteBibliography"/>
        <w:spacing w:after="240"/>
        <w:ind w:left="720" w:hanging="720"/>
        <w:rPr>
          <w:szCs w:val="24"/>
        </w:rPr>
      </w:pPr>
      <w:r w:rsidRPr="00DE0F43">
        <w:rPr>
          <w:szCs w:val="24"/>
        </w:rPr>
        <w:t xml:space="preserve">Solomon, S., Li, H., Womer, K., &amp; Santos, C. (2019). Multiperiod Stochastic Resource Planning in Professional Services Organizations. </w:t>
      </w:r>
      <w:r w:rsidRPr="00DE0F43">
        <w:rPr>
          <w:i/>
          <w:szCs w:val="24"/>
        </w:rPr>
        <w:t>Decision Sciences</w:t>
      </w:r>
      <w:r w:rsidRPr="00DE0F43">
        <w:rPr>
          <w:szCs w:val="24"/>
        </w:rPr>
        <w:t>(6), 1281</w:t>
      </w:r>
      <w:r w:rsidR="005D47DC">
        <w:rPr>
          <w:szCs w:val="24"/>
        </w:rPr>
        <w:t>-1318</w:t>
      </w:r>
      <w:r w:rsidRPr="00DE0F43">
        <w:rPr>
          <w:szCs w:val="24"/>
        </w:rPr>
        <w:t xml:space="preserve">. </w:t>
      </w:r>
      <w:r w:rsidRPr="001C56A3">
        <w:rPr>
          <w:szCs w:val="24"/>
        </w:rPr>
        <w:t>https://doi.org/10.1111/deci.12370</w:t>
      </w:r>
      <w:r w:rsidRPr="00DE0F43">
        <w:rPr>
          <w:szCs w:val="24"/>
        </w:rPr>
        <w:t xml:space="preserve"> </w:t>
      </w:r>
    </w:p>
    <w:p w14:paraId="36DC059A" w14:textId="505475DE" w:rsidR="00AD5D3F" w:rsidRPr="00DE0F43" w:rsidRDefault="00AD5D3F" w:rsidP="00AD5D3F">
      <w:pPr>
        <w:pStyle w:val="EndNoteBibliography"/>
        <w:spacing w:after="240"/>
        <w:ind w:left="720" w:hanging="720"/>
        <w:rPr>
          <w:szCs w:val="24"/>
        </w:rPr>
      </w:pPr>
      <w:r w:rsidRPr="00DE0F43">
        <w:rPr>
          <w:szCs w:val="24"/>
        </w:rPr>
        <w:t xml:space="preserve">Steelman, Z. R., &amp; Soror, A. A. (2017). Why do you keep doing that? The biasing effects of mental states on IT continued usage intentions </w:t>
      </w:r>
      <w:r w:rsidRPr="00DE0F43">
        <w:rPr>
          <w:i/>
          <w:szCs w:val="24"/>
        </w:rPr>
        <w:t>Computers in Human Behavior</w:t>
      </w:r>
      <w:r w:rsidRPr="00DE0F43">
        <w:rPr>
          <w:szCs w:val="24"/>
        </w:rPr>
        <w:t>,</w:t>
      </w:r>
      <w:r w:rsidRPr="00DE0F43">
        <w:rPr>
          <w:i/>
          <w:szCs w:val="24"/>
        </w:rPr>
        <w:t xml:space="preserve"> 73</w:t>
      </w:r>
      <w:r w:rsidRPr="00DE0F43">
        <w:rPr>
          <w:szCs w:val="24"/>
        </w:rPr>
        <w:t xml:space="preserve">, 209-223. </w:t>
      </w:r>
      <w:r w:rsidRPr="001C56A3">
        <w:rPr>
          <w:szCs w:val="24"/>
        </w:rPr>
        <w:t>https://doi.org/10.1016/j.chb.2017.03.027</w:t>
      </w:r>
      <w:r w:rsidRPr="00DE0F43">
        <w:rPr>
          <w:szCs w:val="24"/>
        </w:rPr>
        <w:t xml:space="preserve"> </w:t>
      </w:r>
    </w:p>
    <w:p w14:paraId="31CFAB01" w14:textId="77777777" w:rsidR="00AD5D3F" w:rsidRPr="00DE0F43" w:rsidRDefault="00AD5D3F" w:rsidP="00AD5D3F">
      <w:pPr>
        <w:pStyle w:val="EndNoteBibliography"/>
        <w:spacing w:after="240"/>
        <w:ind w:left="720" w:hanging="720"/>
        <w:rPr>
          <w:szCs w:val="24"/>
        </w:rPr>
      </w:pPr>
      <w:r w:rsidRPr="00DE0F43">
        <w:rPr>
          <w:szCs w:val="24"/>
        </w:rPr>
        <w:t xml:space="preserve">Straub, D. W., &amp; Welke, R. J. (1998). Coping with systems risk: security planning models for management decision making. </w:t>
      </w:r>
      <w:r w:rsidRPr="00DE0F43">
        <w:rPr>
          <w:i/>
          <w:szCs w:val="24"/>
        </w:rPr>
        <w:t>MIS Quarterly</w:t>
      </w:r>
      <w:r w:rsidRPr="00DE0F43">
        <w:rPr>
          <w:szCs w:val="24"/>
        </w:rPr>
        <w:t>,</w:t>
      </w:r>
      <w:r w:rsidRPr="00DE0F43">
        <w:rPr>
          <w:i/>
          <w:szCs w:val="24"/>
        </w:rPr>
        <w:t xml:space="preserve"> 22</w:t>
      </w:r>
      <w:r w:rsidRPr="00DE0F43">
        <w:rPr>
          <w:szCs w:val="24"/>
        </w:rPr>
        <w:t xml:space="preserve">(4), 441-469. </w:t>
      </w:r>
    </w:p>
    <w:p w14:paraId="06E018D6" w14:textId="77777777" w:rsidR="00AD5D3F" w:rsidRPr="00DE0F43" w:rsidRDefault="00AD5D3F" w:rsidP="00AD5D3F">
      <w:pPr>
        <w:pStyle w:val="EndNoteBibliography"/>
        <w:spacing w:after="240"/>
        <w:ind w:left="720" w:hanging="720"/>
        <w:rPr>
          <w:szCs w:val="24"/>
        </w:rPr>
      </w:pPr>
      <w:r w:rsidRPr="00DE0F43">
        <w:rPr>
          <w:szCs w:val="24"/>
        </w:rPr>
        <w:t xml:space="preserve">Street, C. T., &amp; Meister, D. B. (2004). Small business growth and internal transparency: The role of information systems. </w:t>
      </w:r>
      <w:r w:rsidRPr="00DE0F43">
        <w:rPr>
          <w:i/>
          <w:szCs w:val="24"/>
        </w:rPr>
        <w:t>MIS Quarterly</w:t>
      </w:r>
      <w:r w:rsidRPr="00DE0F43">
        <w:rPr>
          <w:szCs w:val="24"/>
        </w:rPr>
        <w:t>,</w:t>
      </w:r>
      <w:r w:rsidRPr="00DE0F43">
        <w:rPr>
          <w:i/>
          <w:szCs w:val="24"/>
        </w:rPr>
        <w:t xml:space="preserve"> 28</w:t>
      </w:r>
      <w:r w:rsidRPr="00DE0F43">
        <w:rPr>
          <w:szCs w:val="24"/>
        </w:rPr>
        <w:t xml:space="preserve">(3), 473-506. </w:t>
      </w:r>
    </w:p>
    <w:p w14:paraId="5E258A8E" w14:textId="533AB032" w:rsidR="00AD5D3F" w:rsidRPr="00DE0F43" w:rsidRDefault="00AD5D3F" w:rsidP="00AD5D3F">
      <w:pPr>
        <w:pStyle w:val="EndNoteBibliography"/>
        <w:spacing w:after="240"/>
        <w:ind w:left="720" w:hanging="720"/>
        <w:rPr>
          <w:szCs w:val="24"/>
        </w:rPr>
      </w:pPr>
      <w:r w:rsidRPr="00DE0F43">
        <w:rPr>
          <w:szCs w:val="24"/>
        </w:rPr>
        <w:t xml:space="preserve">Sutanto, J., &amp; Jiang, Q. (2013). Knowledge seekers’ and contributors’ reactions to recommendation mechanisms in knowledge management systems </w:t>
      </w:r>
      <w:r w:rsidRPr="00DE0F43">
        <w:rPr>
          <w:i/>
          <w:szCs w:val="24"/>
        </w:rPr>
        <w:t>Information &amp; Management</w:t>
      </w:r>
      <w:r w:rsidRPr="00DE0F43">
        <w:rPr>
          <w:szCs w:val="24"/>
        </w:rPr>
        <w:t>,</w:t>
      </w:r>
      <w:r w:rsidRPr="00DE0F43">
        <w:rPr>
          <w:i/>
          <w:szCs w:val="24"/>
        </w:rPr>
        <w:t xml:space="preserve"> 50</w:t>
      </w:r>
      <w:r w:rsidRPr="00DE0F43">
        <w:rPr>
          <w:szCs w:val="24"/>
        </w:rPr>
        <w:t xml:space="preserve">(5), 258-263. </w:t>
      </w:r>
      <w:r w:rsidRPr="001C56A3">
        <w:rPr>
          <w:szCs w:val="24"/>
        </w:rPr>
        <w:t>https://doi.org/10.1016/j.im.2012.11.004</w:t>
      </w:r>
      <w:r w:rsidRPr="00DE0F43">
        <w:rPr>
          <w:szCs w:val="24"/>
        </w:rPr>
        <w:t xml:space="preserve"> </w:t>
      </w:r>
    </w:p>
    <w:p w14:paraId="614147FE" w14:textId="104C5007" w:rsidR="00AD5D3F" w:rsidRPr="00DE0F43" w:rsidRDefault="00AD5D3F" w:rsidP="00AD5D3F">
      <w:pPr>
        <w:pStyle w:val="EndNoteBibliography"/>
        <w:spacing w:after="240"/>
        <w:ind w:left="720" w:hanging="720"/>
        <w:rPr>
          <w:szCs w:val="24"/>
        </w:rPr>
      </w:pPr>
      <w:r w:rsidRPr="00DE0F43">
        <w:rPr>
          <w:szCs w:val="24"/>
        </w:rPr>
        <w:t xml:space="preserve">Sykes, T. A., Venkatesh, V., &amp; Gosain, S. (2009). Model of Acceptance with Peer Support: A Social Network Perspective to Understand Employees' System Use. </w:t>
      </w:r>
      <w:r w:rsidRPr="00DE0F43">
        <w:rPr>
          <w:i/>
          <w:szCs w:val="24"/>
        </w:rPr>
        <w:t>MIS Quarterly</w:t>
      </w:r>
      <w:r w:rsidRPr="00DE0F43">
        <w:rPr>
          <w:szCs w:val="24"/>
        </w:rPr>
        <w:t>,</w:t>
      </w:r>
      <w:r w:rsidRPr="00DE0F43">
        <w:rPr>
          <w:i/>
          <w:szCs w:val="24"/>
        </w:rPr>
        <w:t xml:space="preserve"> 33</w:t>
      </w:r>
      <w:r w:rsidRPr="00DE0F43">
        <w:rPr>
          <w:szCs w:val="24"/>
        </w:rPr>
        <w:t xml:space="preserve">(2), 371. </w:t>
      </w:r>
      <w:r w:rsidRPr="001C56A3">
        <w:rPr>
          <w:szCs w:val="24"/>
        </w:rPr>
        <w:t>https://doi.org/10.2307/20650296</w:t>
      </w:r>
      <w:r w:rsidRPr="00DE0F43">
        <w:rPr>
          <w:szCs w:val="24"/>
        </w:rPr>
        <w:t xml:space="preserve"> </w:t>
      </w:r>
    </w:p>
    <w:p w14:paraId="2073D662" w14:textId="77777777" w:rsidR="00AD5D3F" w:rsidRPr="00DE0F43" w:rsidRDefault="00AD5D3F" w:rsidP="00AD5D3F">
      <w:pPr>
        <w:pStyle w:val="EndNoteBibliography"/>
        <w:spacing w:after="240"/>
        <w:ind w:left="720" w:hanging="720"/>
        <w:rPr>
          <w:szCs w:val="24"/>
        </w:rPr>
      </w:pPr>
      <w:r w:rsidRPr="00DE0F43">
        <w:rPr>
          <w:szCs w:val="24"/>
        </w:rPr>
        <w:lastRenderedPageBreak/>
        <w:t xml:space="preserve">Tarafdar, M., Gupta, A., &amp; Turel, O. (2015a). Introduction to the special issue on ‘Dark side of information technology use’–Part two. </w:t>
      </w:r>
      <w:r w:rsidRPr="00DE0F43">
        <w:rPr>
          <w:i/>
          <w:szCs w:val="24"/>
        </w:rPr>
        <w:t>Information Systems Journal</w:t>
      </w:r>
      <w:r w:rsidRPr="00DE0F43">
        <w:rPr>
          <w:szCs w:val="24"/>
        </w:rPr>
        <w:t>,</w:t>
      </w:r>
      <w:r w:rsidRPr="00DE0F43">
        <w:rPr>
          <w:i/>
          <w:szCs w:val="24"/>
        </w:rPr>
        <w:t xml:space="preserve"> 25</w:t>
      </w:r>
      <w:r w:rsidRPr="00DE0F43">
        <w:rPr>
          <w:szCs w:val="24"/>
        </w:rPr>
        <w:t xml:space="preserve">(4), 315-317. </w:t>
      </w:r>
    </w:p>
    <w:p w14:paraId="16F431CA" w14:textId="196C15FB" w:rsidR="00AD5D3F" w:rsidRPr="00DE0F43" w:rsidRDefault="00AD5D3F" w:rsidP="00AD5D3F">
      <w:pPr>
        <w:pStyle w:val="EndNoteBibliography"/>
        <w:spacing w:after="240"/>
        <w:ind w:left="720" w:hanging="720"/>
        <w:rPr>
          <w:szCs w:val="24"/>
        </w:rPr>
      </w:pPr>
      <w:r w:rsidRPr="00DE0F43">
        <w:rPr>
          <w:szCs w:val="24"/>
        </w:rPr>
        <w:t xml:space="preserve">Tarafdar, M., Gupta, A., &amp; Turel, O. (2015b). Special issue on 'dark side of information technology use': an introduction and a framework for research. </w:t>
      </w:r>
      <w:r w:rsidRPr="00DE0F43">
        <w:rPr>
          <w:i/>
          <w:szCs w:val="24"/>
        </w:rPr>
        <w:t>Information Systems Journal</w:t>
      </w:r>
      <w:r w:rsidRPr="00DE0F43">
        <w:rPr>
          <w:szCs w:val="24"/>
        </w:rPr>
        <w:t>,</w:t>
      </w:r>
      <w:r w:rsidRPr="00DE0F43">
        <w:rPr>
          <w:i/>
          <w:szCs w:val="24"/>
        </w:rPr>
        <w:t xml:space="preserve"> 25</w:t>
      </w:r>
      <w:r w:rsidRPr="00DE0F43">
        <w:rPr>
          <w:szCs w:val="24"/>
        </w:rPr>
        <w:t xml:space="preserve">(3), 161-170. </w:t>
      </w:r>
      <w:r w:rsidRPr="001C56A3">
        <w:rPr>
          <w:szCs w:val="24"/>
        </w:rPr>
        <w:t>https://doi.org/10.1111/isj.12076</w:t>
      </w:r>
      <w:r w:rsidRPr="00DE0F43">
        <w:rPr>
          <w:szCs w:val="24"/>
        </w:rPr>
        <w:t xml:space="preserve"> </w:t>
      </w:r>
    </w:p>
    <w:p w14:paraId="3126D119" w14:textId="2D1B4CE2" w:rsidR="00AD5D3F" w:rsidRPr="00DE0F43" w:rsidRDefault="00AD5D3F" w:rsidP="00AD5D3F">
      <w:pPr>
        <w:pStyle w:val="EndNoteBibliography"/>
        <w:spacing w:after="240"/>
        <w:ind w:left="720" w:hanging="720"/>
        <w:rPr>
          <w:szCs w:val="24"/>
        </w:rPr>
      </w:pPr>
      <w:r w:rsidRPr="00DE0F43">
        <w:rPr>
          <w:szCs w:val="24"/>
        </w:rPr>
        <w:t xml:space="preserve">Tarafdar, M., Maier, C., Laumer, S., &amp; Weitzel, T. (2020). Explaining the link between technostress and technology addiction for social networking sites: A study of distraction as a coping behavior. </w:t>
      </w:r>
      <w:r w:rsidRPr="00DE0F43">
        <w:rPr>
          <w:i/>
          <w:szCs w:val="24"/>
        </w:rPr>
        <w:t>Information Systems Journal</w:t>
      </w:r>
      <w:r w:rsidRPr="00DE0F43">
        <w:rPr>
          <w:szCs w:val="24"/>
        </w:rPr>
        <w:t>,</w:t>
      </w:r>
      <w:r w:rsidRPr="00DE0F43">
        <w:rPr>
          <w:i/>
          <w:szCs w:val="24"/>
        </w:rPr>
        <w:t xml:space="preserve"> 30</w:t>
      </w:r>
      <w:r w:rsidRPr="00DE0F43">
        <w:rPr>
          <w:szCs w:val="24"/>
        </w:rPr>
        <w:t xml:space="preserve">(1), 96-124. </w:t>
      </w:r>
      <w:r w:rsidRPr="001C56A3">
        <w:rPr>
          <w:szCs w:val="24"/>
        </w:rPr>
        <w:t>https://doi.org/10.1111/isj.12253</w:t>
      </w:r>
      <w:r w:rsidRPr="00DE0F43">
        <w:rPr>
          <w:szCs w:val="24"/>
        </w:rPr>
        <w:t xml:space="preserve"> </w:t>
      </w:r>
    </w:p>
    <w:p w14:paraId="39308732" w14:textId="77777777" w:rsidR="00AD5D3F" w:rsidRPr="00DE0F43" w:rsidRDefault="00AD5D3F" w:rsidP="00AD5D3F">
      <w:pPr>
        <w:pStyle w:val="EndNoteBibliography"/>
        <w:spacing w:after="240"/>
        <w:ind w:left="720" w:hanging="720"/>
        <w:rPr>
          <w:szCs w:val="24"/>
        </w:rPr>
      </w:pPr>
      <w:r w:rsidRPr="00DE0F43">
        <w:rPr>
          <w:szCs w:val="24"/>
        </w:rPr>
        <w:t xml:space="preserve">Te'eni, D. (2009). Comment: The Wiki way in a hurry—The ICIS anecdote. </w:t>
      </w:r>
      <w:r w:rsidRPr="00DE0F43">
        <w:rPr>
          <w:i/>
          <w:szCs w:val="24"/>
        </w:rPr>
        <w:t>MIS Quarterly</w:t>
      </w:r>
      <w:r w:rsidRPr="00DE0F43">
        <w:rPr>
          <w:szCs w:val="24"/>
        </w:rPr>
        <w:t>,</w:t>
      </w:r>
      <w:r w:rsidRPr="00DE0F43">
        <w:rPr>
          <w:i/>
          <w:szCs w:val="24"/>
        </w:rPr>
        <w:t xml:space="preserve"> 33</w:t>
      </w:r>
      <w:r w:rsidRPr="00DE0F43">
        <w:rPr>
          <w:szCs w:val="24"/>
        </w:rPr>
        <w:t xml:space="preserve">(1), 20-22. </w:t>
      </w:r>
    </w:p>
    <w:p w14:paraId="15BF5E36" w14:textId="711436F8" w:rsidR="00AD5D3F" w:rsidRPr="00DE0F43" w:rsidRDefault="00AD5D3F" w:rsidP="00AD5D3F">
      <w:pPr>
        <w:pStyle w:val="EndNoteBibliography"/>
        <w:spacing w:after="240"/>
        <w:ind w:left="720" w:hanging="720"/>
        <w:rPr>
          <w:szCs w:val="24"/>
        </w:rPr>
      </w:pPr>
      <w:r w:rsidRPr="00DE0F43">
        <w:rPr>
          <w:szCs w:val="24"/>
        </w:rPr>
        <w:t>Templeton, G. F., &amp; Lewis, B. R. (2015).</w:t>
      </w:r>
      <w:r w:rsidR="005D47DC">
        <w:rPr>
          <w:szCs w:val="24"/>
        </w:rPr>
        <w:t xml:space="preserve"> Fairness in the institutional valuation of business journals.</w:t>
      </w:r>
      <w:r w:rsidRPr="00DE0F43">
        <w:rPr>
          <w:szCs w:val="24"/>
        </w:rPr>
        <w:t xml:space="preserve"> </w:t>
      </w:r>
      <w:r w:rsidRPr="00DE0F43">
        <w:rPr>
          <w:i/>
          <w:szCs w:val="24"/>
        </w:rPr>
        <w:t>MIS Quarterly</w:t>
      </w:r>
      <w:r w:rsidRPr="00DE0F43">
        <w:rPr>
          <w:szCs w:val="24"/>
        </w:rPr>
        <w:t>,</w:t>
      </w:r>
      <w:r w:rsidRPr="00DE0F43">
        <w:rPr>
          <w:i/>
          <w:szCs w:val="24"/>
        </w:rPr>
        <w:t xml:space="preserve"> 39</w:t>
      </w:r>
      <w:r w:rsidRPr="00DE0F43">
        <w:rPr>
          <w:szCs w:val="24"/>
        </w:rPr>
        <w:t xml:space="preserve">(3), 523-A513. </w:t>
      </w:r>
    </w:p>
    <w:p w14:paraId="698DF74F" w14:textId="2F8DCDFE" w:rsidR="00AD5D3F" w:rsidRPr="00DE0F43" w:rsidRDefault="00AD5D3F" w:rsidP="00AD5D3F">
      <w:pPr>
        <w:pStyle w:val="EndNoteBibliography"/>
        <w:spacing w:after="240"/>
        <w:ind w:left="720" w:hanging="720"/>
        <w:rPr>
          <w:szCs w:val="24"/>
        </w:rPr>
      </w:pPr>
      <w:r w:rsidRPr="00DE0F43">
        <w:rPr>
          <w:szCs w:val="24"/>
        </w:rPr>
        <w:t>Tenhiälä, A., &amp; Salvador, F. (2014). Looking Inside Glitch Mitigation Capability: The Effect of Intraorganizational Communication Channels</w:t>
      </w:r>
      <w:r w:rsidR="005D47DC">
        <w:rPr>
          <w:szCs w:val="24"/>
        </w:rPr>
        <w:t>.</w:t>
      </w:r>
      <w:r w:rsidRPr="00DE0F43">
        <w:rPr>
          <w:szCs w:val="24"/>
        </w:rPr>
        <w:t xml:space="preserve"> </w:t>
      </w:r>
      <w:r w:rsidRPr="00DE0F43">
        <w:rPr>
          <w:i/>
          <w:szCs w:val="24"/>
        </w:rPr>
        <w:t>Decision Sciences</w:t>
      </w:r>
      <w:r w:rsidRPr="00DE0F43">
        <w:rPr>
          <w:szCs w:val="24"/>
        </w:rPr>
        <w:t>,</w:t>
      </w:r>
      <w:r w:rsidRPr="00DE0F43">
        <w:rPr>
          <w:i/>
          <w:szCs w:val="24"/>
        </w:rPr>
        <w:t xml:space="preserve"> 45</w:t>
      </w:r>
      <w:r w:rsidRPr="00DE0F43">
        <w:rPr>
          <w:szCs w:val="24"/>
        </w:rPr>
        <w:t xml:space="preserve">(3), 437-466. </w:t>
      </w:r>
      <w:r w:rsidRPr="001C56A3">
        <w:rPr>
          <w:szCs w:val="24"/>
        </w:rPr>
        <w:t>https://doi.org/10.1111/deci.12076</w:t>
      </w:r>
      <w:r w:rsidRPr="00DE0F43">
        <w:rPr>
          <w:szCs w:val="24"/>
        </w:rPr>
        <w:t xml:space="preserve"> </w:t>
      </w:r>
    </w:p>
    <w:p w14:paraId="06558CA9" w14:textId="77777777" w:rsidR="00AD5D3F" w:rsidRPr="00DE0F43" w:rsidRDefault="00AD5D3F" w:rsidP="00AD5D3F">
      <w:pPr>
        <w:pStyle w:val="EndNoteBibliography"/>
        <w:spacing w:after="240"/>
        <w:ind w:left="720" w:hanging="720"/>
        <w:rPr>
          <w:szCs w:val="24"/>
        </w:rPr>
      </w:pPr>
      <w:r w:rsidRPr="00DE0F43">
        <w:rPr>
          <w:szCs w:val="24"/>
        </w:rPr>
        <w:t xml:space="preserve">Thiesse, F. (2007). RFID, privacy and the perception of risk: A strategic framework. </w:t>
      </w:r>
      <w:r w:rsidRPr="00DE0F43">
        <w:rPr>
          <w:i/>
          <w:szCs w:val="24"/>
        </w:rPr>
        <w:t>The Journal of Strategic Information Systems</w:t>
      </w:r>
      <w:r w:rsidRPr="00DE0F43">
        <w:rPr>
          <w:szCs w:val="24"/>
        </w:rPr>
        <w:t>,</w:t>
      </w:r>
      <w:r w:rsidRPr="00DE0F43">
        <w:rPr>
          <w:i/>
          <w:szCs w:val="24"/>
        </w:rPr>
        <w:t xml:space="preserve"> 16</w:t>
      </w:r>
      <w:r w:rsidRPr="00DE0F43">
        <w:rPr>
          <w:szCs w:val="24"/>
        </w:rPr>
        <w:t xml:space="preserve">(2), 214-232. </w:t>
      </w:r>
    </w:p>
    <w:p w14:paraId="1B01E5A5" w14:textId="77777777" w:rsidR="00AD5D3F" w:rsidRPr="00DE0F43" w:rsidRDefault="00AD5D3F" w:rsidP="00AD5D3F">
      <w:pPr>
        <w:pStyle w:val="EndNoteBibliography"/>
        <w:spacing w:after="240"/>
        <w:ind w:left="720" w:hanging="720"/>
        <w:rPr>
          <w:szCs w:val="24"/>
        </w:rPr>
      </w:pPr>
      <w:r w:rsidRPr="00DE0F43">
        <w:rPr>
          <w:szCs w:val="24"/>
        </w:rPr>
        <w:t xml:space="preserve">Torrubia, A., Francisco, J. M., &amp; Marti, L. (2001). Cryptography Regulations for E-commerce and Digital Rights Management. </w:t>
      </w:r>
      <w:r w:rsidRPr="00DE0F43">
        <w:rPr>
          <w:i/>
          <w:szCs w:val="24"/>
        </w:rPr>
        <w:t>Computers &amp; Security</w:t>
      </w:r>
      <w:r w:rsidRPr="00DE0F43">
        <w:rPr>
          <w:szCs w:val="24"/>
        </w:rPr>
        <w:t>,</w:t>
      </w:r>
      <w:r w:rsidRPr="00DE0F43">
        <w:rPr>
          <w:i/>
          <w:szCs w:val="24"/>
        </w:rPr>
        <w:t xml:space="preserve"> 20</w:t>
      </w:r>
      <w:r w:rsidRPr="00DE0F43">
        <w:rPr>
          <w:szCs w:val="24"/>
        </w:rPr>
        <w:t xml:space="preserve">(8), 724-738. </w:t>
      </w:r>
    </w:p>
    <w:p w14:paraId="32D3B1E6" w14:textId="726CDE41" w:rsidR="00AD5D3F" w:rsidRPr="00DE0F43" w:rsidRDefault="00AD5D3F" w:rsidP="00AD5D3F">
      <w:pPr>
        <w:pStyle w:val="EndNoteBibliography"/>
        <w:spacing w:after="240"/>
        <w:ind w:left="720" w:hanging="720"/>
        <w:rPr>
          <w:szCs w:val="24"/>
        </w:rPr>
      </w:pPr>
      <w:r w:rsidRPr="00DE0F43">
        <w:rPr>
          <w:szCs w:val="24"/>
        </w:rPr>
        <w:t xml:space="preserve">Tsai, H.-y. S., Jiang, M., Alhabash, S., LaRose, R., Rifon, N. J., &amp; Cotten, S. R. (2016). Understanding online safety behaviors: A protection motivation theory perspective </w:t>
      </w:r>
      <w:r w:rsidRPr="00DE0F43">
        <w:rPr>
          <w:i/>
          <w:szCs w:val="24"/>
        </w:rPr>
        <w:t>Computers &amp; Security</w:t>
      </w:r>
      <w:r w:rsidRPr="00DE0F43">
        <w:rPr>
          <w:szCs w:val="24"/>
        </w:rPr>
        <w:t>,</w:t>
      </w:r>
      <w:r w:rsidRPr="00DE0F43">
        <w:rPr>
          <w:i/>
          <w:szCs w:val="24"/>
        </w:rPr>
        <w:t xml:space="preserve"> 59</w:t>
      </w:r>
      <w:r w:rsidRPr="00DE0F43">
        <w:rPr>
          <w:szCs w:val="24"/>
        </w:rPr>
        <w:t xml:space="preserve">, 138-150. </w:t>
      </w:r>
      <w:r w:rsidRPr="001C56A3">
        <w:rPr>
          <w:szCs w:val="24"/>
        </w:rPr>
        <w:t>https://doi.org/10.1016/j.cose.2016.02.009</w:t>
      </w:r>
      <w:r w:rsidRPr="00DE0F43">
        <w:rPr>
          <w:szCs w:val="24"/>
        </w:rPr>
        <w:t xml:space="preserve"> </w:t>
      </w:r>
    </w:p>
    <w:p w14:paraId="7E5C9EEA" w14:textId="55976A1C" w:rsidR="00AD5D3F" w:rsidRPr="00DE0F43" w:rsidRDefault="00AD5D3F" w:rsidP="00AD5D3F">
      <w:pPr>
        <w:pStyle w:val="EndNoteBibliography"/>
        <w:spacing w:after="240"/>
        <w:ind w:left="720" w:hanging="720"/>
        <w:rPr>
          <w:szCs w:val="24"/>
        </w:rPr>
      </w:pPr>
      <w:r w:rsidRPr="00DE0F43">
        <w:rPr>
          <w:szCs w:val="24"/>
        </w:rPr>
        <w:t xml:space="preserve">Tu, Z., Turel, O., Yuan, Y., &amp; Archer, N. (2015). Learning to cope with information security risks regarding mobile device loss or theft: An empirical examination </w:t>
      </w:r>
      <w:r w:rsidRPr="00DE0F43">
        <w:rPr>
          <w:i/>
          <w:szCs w:val="24"/>
        </w:rPr>
        <w:t>Information &amp; Management</w:t>
      </w:r>
      <w:r w:rsidRPr="00DE0F43">
        <w:rPr>
          <w:szCs w:val="24"/>
        </w:rPr>
        <w:t>,</w:t>
      </w:r>
      <w:r w:rsidRPr="00DE0F43">
        <w:rPr>
          <w:i/>
          <w:szCs w:val="24"/>
        </w:rPr>
        <w:t xml:space="preserve"> 52</w:t>
      </w:r>
      <w:r w:rsidRPr="00DE0F43">
        <w:rPr>
          <w:szCs w:val="24"/>
        </w:rPr>
        <w:t xml:space="preserve">(4), 506-517. </w:t>
      </w:r>
      <w:r w:rsidRPr="001C56A3">
        <w:rPr>
          <w:szCs w:val="24"/>
        </w:rPr>
        <w:t>https://doi.org/10.1016/j.im.2015.03.002</w:t>
      </w:r>
      <w:r w:rsidRPr="00DE0F43">
        <w:rPr>
          <w:szCs w:val="24"/>
        </w:rPr>
        <w:t xml:space="preserve"> </w:t>
      </w:r>
    </w:p>
    <w:p w14:paraId="42497975" w14:textId="77777777" w:rsidR="00AD5D3F" w:rsidRPr="00DE0F43" w:rsidRDefault="00AD5D3F" w:rsidP="00AD5D3F">
      <w:pPr>
        <w:pStyle w:val="EndNoteBibliography"/>
        <w:spacing w:after="240"/>
        <w:ind w:left="720" w:hanging="720"/>
        <w:rPr>
          <w:szCs w:val="24"/>
        </w:rPr>
      </w:pPr>
      <w:r w:rsidRPr="00DE0F43">
        <w:rPr>
          <w:szCs w:val="24"/>
        </w:rPr>
        <w:t xml:space="preserve">Ucci, D., Aniello, L., &amp; Baldoni, R. (2019). Survey of machine learning techniques for malware analysis [Review Article]. </w:t>
      </w:r>
      <w:r w:rsidRPr="00DE0F43">
        <w:rPr>
          <w:i/>
          <w:szCs w:val="24"/>
        </w:rPr>
        <w:t>Computers &amp; Security</w:t>
      </w:r>
      <w:r w:rsidRPr="00DE0F43">
        <w:rPr>
          <w:szCs w:val="24"/>
        </w:rPr>
        <w:t>,</w:t>
      </w:r>
      <w:r w:rsidRPr="00DE0F43">
        <w:rPr>
          <w:i/>
          <w:szCs w:val="24"/>
        </w:rPr>
        <w:t xml:space="preserve"> 81</w:t>
      </w:r>
      <w:r w:rsidRPr="00DE0F43">
        <w:rPr>
          <w:szCs w:val="24"/>
        </w:rPr>
        <w:t xml:space="preserve">, 123-147. </w:t>
      </w:r>
      <w:r w:rsidRPr="001C56A3">
        <w:rPr>
          <w:szCs w:val="24"/>
        </w:rPr>
        <w:t>https://doi.org/10.1016/j.cose.2018.11.001</w:t>
      </w:r>
      <w:r w:rsidRPr="00DE0F43">
        <w:rPr>
          <w:szCs w:val="24"/>
        </w:rPr>
        <w:t xml:space="preserve"> </w:t>
      </w:r>
    </w:p>
    <w:p w14:paraId="17C5607D" w14:textId="7F7FBF03" w:rsidR="00AD5D3F" w:rsidRPr="00DE0F43" w:rsidRDefault="00AD5D3F" w:rsidP="00AD5D3F">
      <w:pPr>
        <w:pStyle w:val="EndNoteBibliography"/>
        <w:spacing w:after="240"/>
        <w:ind w:left="720" w:hanging="720"/>
        <w:rPr>
          <w:szCs w:val="24"/>
        </w:rPr>
      </w:pPr>
      <w:r w:rsidRPr="00DE0F43">
        <w:rPr>
          <w:szCs w:val="24"/>
        </w:rPr>
        <w:t xml:space="preserve">Vakharia, A. J., &amp; Kaku, B. K. (1993). Redesigning a cellular manufacturing system to handle long-term demand changes: a methodology and investigaton. </w:t>
      </w:r>
      <w:r w:rsidRPr="00DE0F43">
        <w:rPr>
          <w:i/>
          <w:szCs w:val="24"/>
        </w:rPr>
        <w:t>Decision Sciences</w:t>
      </w:r>
      <w:r w:rsidRPr="00DE0F43">
        <w:rPr>
          <w:szCs w:val="24"/>
        </w:rPr>
        <w:t>(5), 909</w:t>
      </w:r>
      <w:r w:rsidR="005D47DC">
        <w:rPr>
          <w:szCs w:val="24"/>
        </w:rPr>
        <w:t>-930</w:t>
      </w:r>
      <w:r w:rsidRPr="00DE0F43">
        <w:rPr>
          <w:szCs w:val="24"/>
        </w:rPr>
        <w:t xml:space="preserve">. </w:t>
      </w:r>
    </w:p>
    <w:p w14:paraId="0A134CDE" w14:textId="77777777" w:rsidR="00AD5D3F" w:rsidRPr="00DE0F43" w:rsidRDefault="00AD5D3F" w:rsidP="00AD5D3F">
      <w:pPr>
        <w:pStyle w:val="EndNoteBibliography"/>
        <w:spacing w:after="240"/>
        <w:ind w:left="720" w:hanging="720"/>
        <w:rPr>
          <w:szCs w:val="24"/>
        </w:rPr>
      </w:pPr>
      <w:r w:rsidRPr="00DE0F43">
        <w:rPr>
          <w:szCs w:val="24"/>
        </w:rPr>
        <w:t xml:space="preserve">Venkatesh, V., Sykes, T., Chan, F. K., Thong, J. Y., &amp; Hu, P. J. (2019). Children's Internet Addiction, Family-to-Work Conflict, and Job Outcomes: A Study of Parent-Child Dyads. </w:t>
      </w:r>
      <w:r w:rsidRPr="00DE0F43">
        <w:rPr>
          <w:i/>
          <w:szCs w:val="24"/>
        </w:rPr>
        <w:t>MIS Quarterly</w:t>
      </w:r>
      <w:r w:rsidRPr="00DE0F43">
        <w:rPr>
          <w:szCs w:val="24"/>
        </w:rPr>
        <w:t>,</w:t>
      </w:r>
      <w:r w:rsidRPr="00DE0F43">
        <w:rPr>
          <w:i/>
          <w:szCs w:val="24"/>
        </w:rPr>
        <w:t xml:space="preserve"> 43</w:t>
      </w:r>
      <w:r w:rsidRPr="00DE0F43">
        <w:rPr>
          <w:szCs w:val="24"/>
        </w:rPr>
        <w:t xml:space="preserve">(3), 903-927. </w:t>
      </w:r>
    </w:p>
    <w:p w14:paraId="21788FA1" w14:textId="77777777" w:rsidR="00AD5D3F" w:rsidRPr="00DE0F43" w:rsidRDefault="00AD5D3F" w:rsidP="00AD5D3F">
      <w:pPr>
        <w:pStyle w:val="EndNoteBibliography"/>
        <w:spacing w:after="240"/>
        <w:ind w:left="720" w:hanging="720"/>
        <w:rPr>
          <w:szCs w:val="24"/>
        </w:rPr>
      </w:pPr>
      <w:r w:rsidRPr="00DE0F43">
        <w:rPr>
          <w:szCs w:val="24"/>
        </w:rPr>
        <w:lastRenderedPageBreak/>
        <w:t xml:space="preserve">Wall, J., Lowry, P. B., &amp; Barlow, J. B. (2015). Organizational violations of externally governed privacy and security rules: Explaining and predicting selective violations under conditions of strain and excess. </w:t>
      </w:r>
      <w:r w:rsidRPr="00DE0F43">
        <w:rPr>
          <w:i/>
          <w:szCs w:val="24"/>
        </w:rPr>
        <w:t>Journal of the Association for Information Systems</w:t>
      </w:r>
      <w:r w:rsidRPr="00DE0F43">
        <w:rPr>
          <w:szCs w:val="24"/>
        </w:rPr>
        <w:t>,</w:t>
      </w:r>
      <w:r w:rsidRPr="00DE0F43">
        <w:rPr>
          <w:i/>
          <w:szCs w:val="24"/>
        </w:rPr>
        <w:t xml:space="preserve"> 17</w:t>
      </w:r>
      <w:r w:rsidRPr="00DE0F43">
        <w:rPr>
          <w:szCs w:val="24"/>
        </w:rPr>
        <w:t xml:space="preserve">(1), 39-76. </w:t>
      </w:r>
    </w:p>
    <w:p w14:paraId="292AE90F" w14:textId="2CCE8FD0" w:rsidR="00AD5D3F" w:rsidRPr="00DE0F43" w:rsidRDefault="00AD5D3F" w:rsidP="00AD5D3F">
      <w:pPr>
        <w:pStyle w:val="EndNoteBibliography"/>
        <w:spacing w:after="240"/>
        <w:ind w:left="720" w:hanging="720"/>
        <w:rPr>
          <w:szCs w:val="24"/>
        </w:rPr>
      </w:pPr>
      <w:r w:rsidRPr="00DE0F43">
        <w:rPr>
          <w:szCs w:val="24"/>
        </w:rPr>
        <w:t xml:space="preserve">Wall, J. D., &amp; Warkentin, M. (2019). Perceived argument quality's effect on threat and coping appraisals in fear appeals: An experiment and exploration of realism check heuristics </w:t>
      </w:r>
      <w:r w:rsidRPr="00DE0F43">
        <w:rPr>
          <w:i/>
          <w:szCs w:val="24"/>
        </w:rPr>
        <w:t>Information &amp; Management</w:t>
      </w:r>
      <w:r w:rsidRPr="00DE0F43">
        <w:rPr>
          <w:szCs w:val="24"/>
        </w:rPr>
        <w:t>,</w:t>
      </w:r>
      <w:r w:rsidRPr="00DE0F43">
        <w:rPr>
          <w:i/>
          <w:szCs w:val="24"/>
        </w:rPr>
        <w:t xml:space="preserve"> 56</w:t>
      </w:r>
      <w:r w:rsidRPr="00DE0F43">
        <w:rPr>
          <w:szCs w:val="24"/>
        </w:rPr>
        <w:t xml:space="preserve">(8), 103157. </w:t>
      </w:r>
      <w:r w:rsidRPr="001C56A3">
        <w:rPr>
          <w:szCs w:val="24"/>
        </w:rPr>
        <w:t>https://doi.org/10.1016/j.im.2019.03.002</w:t>
      </w:r>
      <w:r w:rsidRPr="00DE0F43">
        <w:rPr>
          <w:szCs w:val="24"/>
        </w:rPr>
        <w:t xml:space="preserve"> </w:t>
      </w:r>
    </w:p>
    <w:p w14:paraId="6E3BA88E" w14:textId="0B6FD7A9" w:rsidR="00AD5D3F" w:rsidRPr="00DE0F43" w:rsidRDefault="00AD5D3F" w:rsidP="00AD5D3F">
      <w:pPr>
        <w:pStyle w:val="EndNoteBibliography"/>
        <w:spacing w:after="240"/>
        <w:ind w:left="720" w:hanging="720"/>
        <w:rPr>
          <w:szCs w:val="24"/>
        </w:rPr>
      </w:pPr>
      <w:r w:rsidRPr="00DE0F43">
        <w:rPr>
          <w:szCs w:val="24"/>
        </w:rPr>
        <w:t xml:space="preserve">Walters, B. A., Jiang, J. J., &amp; Klein, G. (2003). Strategic information and strategic decision making: the EIS/CEO interface in smaller manufacturing companies </w:t>
      </w:r>
      <w:r w:rsidRPr="00DE0F43">
        <w:rPr>
          <w:i/>
          <w:szCs w:val="24"/>
        </w:rPr>
        <w:t>Information &amp; Management</w:t>
      </w:r>
      <w:r w:rsidRPr="00DE0F43">
        <w:rPr>
          <w:szCs w:val="24"/>
        </w:rPr>
        <w:t>,</w:t>
      </w:r>
      <w:r w:rsidRPr="00DE0F43">
        <w:rPr>
          <w:i/>
          <w:szCs w:val="24"/>
        </w:rPr>
        <w:t xml:space="preserve"> 40</w:t>
      </w:r>
      <w:r w:rsidRPr="00DE0F43">
        <w:rPr>
          <w:szCs w:val="24"/>
        </w:rPr>
        <w:t xml:space="preserve">(6), 487-495. </w:t>
      </w:r>
      <w:r w:rsidRPr="001C56A3">
        <w:rPr>
          <w:szCs w:val="24"/>
        </w:rPr>
        <w:t>https://doi.org/10.1016/S0378-7206(02)00063-0</w:t>
      </w:r>
      <w:r w:rsidRPr="00DE0F43">
        <w:rPr>
          <w:szCs w:val="24"/>
        </w:rPr>
        <w:t xml:space="preserve"> </w:t>
      </w:r>
    </w:p>
    <w:p w14:paraId="01BE5410" w14:textId="5CB1319B" w:rsidR="00AD5D3F" w:rsidRPr="00DE0F43" w:rsidRDefault="00AD5D3F" w:rsidP="00AD5D3F">
      <w:pPr>
        <w:pStyle w:val="EndNoteBibliography"/>
        <w:spacing w:after="240"/>
        <w:ind w:left="720" w:hanging="720"/>
        <w:rPr>
          <w:szCs w:val="24"/>
        </w:rPr>
      </w:pPr>
      <w:r w:rsidRPr="00DE0F43">
        <w:rPr>
          <w:szCs w:val="24"/>
        </w:rPr>
        <w:t xml:space="preserve">Wang, L., Sun, Z., Dai, X., Zhang, Y., &amp; Hu, H.-h. (2019). Retaining users after privacy invasions: The roles of institutional privacy assurances and threat-coping appraisal in mitigating privacy concerns </w:t>
      </w:r>
      <w:r w:rsidRPr="00DE0F43">
        <w:rPr>
          <w:i/>
          <w:szCs w:val="24"/>
        </w:rPr>
        <w:t>Information Technology &amp; People</w:t>
      </w:r>
      <w:r w:rsidRPr="00DE0F43">
        <w:rPr>
          <w:szCs w:val="24"/>
        </w:rPr>
        <w:t>,</w:t>
      </w:r>
      <w:r w:rsidRPr="00DE0F43">
        <w:rPr>
          <w:i/>
          <w:szCs w:val="24"/>
        </w:rPr>
        <w:t xml:space="preserve"> 32</w:t>
      </w:r>
      <w:r w:rsidRPr="00DE0F43">
        <w:rPr>
          <w:szCs w:val="24"/>
        </w:rPr>
        <w:t xml:space="preserve">(6), 1679-1703. </w:t>
      </w:r>
      <w:r w:rsidRPr="001C56A3">
        <w:rPr>
          <w:szCs w:val="24"/>
        </w:rPr>
        <w:t>https://doi.org/10.1108/ITP-01-2018-0020</w:t>
      </w:r>
      <w:r w:rsidRPr="00DE0F43">
        <w:rPr>
          <w:szCs w:val="24"/>
        </w:rPr>
        <w:t xml:space="preserve"> </w:t>
      </w:r>
    </w:p>
    <w:p w14:paraId="7DABA2AE" w14:textId="14C8DE87" w:rsidR="00AD5D3F" w:rsidRPr="00DE0F43" w:rsidRDefault="00AD5D3F" w:rsidP="00AD5D3F">
      <w:pPr>
        <w:pStyle w:val="EndNoteBibliography"/>
        <w:spacing w:after="240"/>
        <w:ind w:left="720" w:hanging="720"/>
        <w:rPr>
          <w:szCs w:val="24"/>
        </w:rPr>
      </w:pPr>
      <w:r w:rsidRPr="00DE0F43">
        <w:rPr>
          <w:szCs w:val="24"/>
        </w:rPr>
        <w:t xml:space="preserve">Warkentin, M., Walden, E., Johnston, A. C., &amp; Straub, D. W. (2016). Neural Correlates of Protection Motivation for Secure IT Behaviors: An fMRI Examination </w:t>
      </w:r>
      <w:r w:rsidRPr="00DE0F43">
        <w:rPr>
          <w:i/>
          <w:szCs w:val="24"/>
        </w:rPr>
        <w:t>Journal of the Association for Information Systems</w:t>
      </w:r>
      <w:r w:rsidRPr="00DE0F43">
        <w:rPr>
          <w:szCs w:val="24"/>
        </w:rPr>
        <w:t>,</w:t>
      </w:r>
      <w:r w:rsidRPr="00DE0F43">
        <w:rPr>
          <w:i/>
          <w:szCs w:val="24"/>
        </w:rPr>
        <w:t xml:space="preserve"> 17</w:t>
      </w:r>
      <w:r w:rsidRPr="00DE0F43">
        <w:rPr>
          <w:szCs w:val="24"/>
        </w:rPr>
        <w:t xml:space="preserve">(3), 194-215. </w:t>
      </w:r>
    </w:p>
    <w:p w14:paraId="3C8CE83F" w14:textId="790DA500" w:rsidR="00AD5D3F" w:rsidRPr="00DE0F43" w:rsidRDefault="00AD5D3F" w:rsidP="00AD5D3F">
      <w:pPr>
        <w:pStyle w:val="EndNoteBibliography"/>
        <w:spacing w:after="240"/>
        <w:ind w:left="720" w:hanging="720"/>
        <w:rPr>
          <w:szCs w:val="24"/>
        </w:rPr>
      </w:pPr>
      <w:r w:rsidRPr="00DE0F43">
        <w:rPr>
          <w:szCs w:val="24"/>
        </w:rPr>
        <w:t xml:space="preserve">Warren, L. H., &amp; Nicholls, M. G. (1999). Dynamic Benchmarks for Operations Evaluation Using Soft Computing Methods </w:t>
      </w:r>
      <w:r w:rsidRPr="00DE0F43">
        <w:rPr>
          <w:i/>
          <w:szCs w:val="24"/>
        </w:rPr>
        <w:t>Decision Sciences</w:t>
      </w:r>
      <w:r w:rsidRPr="00DE0F43">
        <w:rPr>
          <w:szCs w:val="24"/>
        </w:rPr>
        <w:t>,</w:t>
      </w:r>
      <w:r w:rsidRPr="00DE0F43">
        <w:rPr>
          <w:i/>
          <w:szCs w:val="24"/>
        </w:rPr>
        <w:t xml:space="preserve"> 30</w:t>
      </w:r>
      <w:r w:rsidRPr="00DE0F43">
        <w:rPr>
          <w:szCs w:val="24"/>
        </w:rPr>
        <w:t xml:space="preserve">(1), 19-45. </w:t>
      </w:r>
      <w:r w:rsidRPr="001C56A3">
        <w:rPr>
          <w:szCs w:val="24"/>
        </w:rPr>
        <w:t>https://doi.org/10.1111/j.1540-5915.1999.tb01600.x</w:t>
      </w:r>
      <w:r w:rsidRPr="00DE0F43">
        <w:rPr>
          <w:szCs w:val="24"/>
        </w:rPr>
        <w:t xml:space="preserve"> </w:t>
      </w:r>
    </w:p>
    <w:p w14:paraId="04B68D2F" w14:textId="77777777" w:rsidR="00AD5D3F" w:rsidRPr="00DE0F43" w:rsidRDefault="00AD5D3F" w:rsidP="00AD5D3F">
      <w:pPr>
        <w:pStyle w:val="EndNoteBibliography"/>
        <w:spacing w:after="240"/>
        <w:ind w:left="720" w:hanging="720"/>
        <w:rPr>
          <w:szCs w:val="24"/>
        </w:rPr>
      </w:pPr>
      <w:r w:rsidRPr="00DE0F43">
        <w:rPr>
          <w:szCs w:val="24"/>
        </w:rPr>
        <w:t xml:space="preserve">Wastell, D., &amp; White, S. (2010). Facts, myths and thought-styles… and a rallying cry for civic engagement. </w:t>
      </w:r>
      <w:r w:rsidRPr="00DE0F43">
        <w:rPr>
          <w:i/>
          <w:szCs w:val="24"/>
        </w:rPr>
        <w:t>The Journal of Strategic Information Systems</w:t>
      </w:r>
      <w:r w:rsidRPr="00DE0F43">
        <w:rPr>
          <w:szCs w:val="24"/>
        </w:rPr>
        <w:t>,</w:t>
      </w:r>
      <w:r w:rsidRPr="00DE0F43">
        <w:rPr>
          <w:i/>
          <w:szCs w:val="24"/>
        </w:rPr>
        <w:t xml:space="preserve"> 19</w:t>
      </w:r>
      <w:r w:rsidRPr="00DE0F43">
        <w:rPr>
          <w:szCs w:val="24"/>
        </w:rPr>
        <w:t xml:space="preserve">(4), 307-318. </w:t>
      </w:r>
    </w:p>
    <w:p w14:paraId="6A5304CF" w14:textId="77777777" w:rsidR="00AD5D3F" w:rsidRPr="00DE0F43" w:rsidRDefault="00AD5D3F" w:rsidP="00AD5D3F">
      <w:pPr>
        <w:pStyle w:val="EndNoteBibliography"/>
        <w:spacing w:after="240"/>
        <w:ind w:left="720" w:hanging="720"/>
        <w:rPr>
          <w:szCs w:val="24"/>
        </w:rPr>
      </w:pPr>
      <w:r w:rsidRPr="00DE0F43">
        <w:rPr>
          <w:szCs w:val="24"/>
        </w:rPr>
        <w:t xml:space="preserve">Weber, R. (2004). Reprise: The Parable of the Golf Balls. </w:t>
      </w:r>
      <w:r w:rsidRPr="00DE0F43">
        <w:rPr>
          <w:i/>
          <w:szCs w:val="24"/>
        </w:rPr>
        <w:t>MIS Quarterly</w:t>
      </w:r>
      <w:r w:rsidRPr="00DE0F43">
        <w:rPr>
          <w:szCs w:val="24"/>
        </w:rPr>
        <w:t>,</w:t>
      </w:r>
      <w:r w:rsidRPr="00DE0F43">
        <w:rPr>
          <w:i/>
          <w:szCs w:val="24"/>
        </w:rPr>
        <w:t xml:space="preserve"> 28</w:t>
      </w:r>
      <w:r w:rsidRPr="00DE0F43">
        <w:rPr>
          <w:szCs w:val="24"/>
        </w:rPr>
        <w:t xml:space="preserve">(4), iii-ix. </w:t>
      </w:r>
    </w:p>
    <w:p w14:paraId="0DEC7702" w14:textId="7EDA1B5F" w:rsidR="00AD5D3F" w:rsidRPr="00DE0F43" w:rsidRDefault="00AD5D3F" w:rsidP="00AD5D3F">
      <w:pPr>
        <w:pStyle w:val="EndNoteBibliography"/>
        <w:spacing w:after="240"/>
        <w:ind w:left="720" w:hanging="720"/>
        <w:rPr>
          <w:szCs w:val="24"/>
        </w:rPr>
      </w:pPr>
      <w:r w:rsidRPr="00DE0F43">
        <w:rPr>
          <w:szCs w:val="24"/>
        </w:rPr>
        <w:t xml:space="preserve">Wertheim, P., &amp; Lynn, M. L. (1993). Development of a prediction model for hospital closure using financial accounting data. </w:t>
      </w:r>
      <w:r w:rsidRPr="00DE0F43">
        <w:rPr>
          <w:i/>
          <w:szCs w:val="24"/>
        </w:rPr>
        <w:t>Decision Sciences</w:t>
      </w:r>
      <w:r w:rsidRPr="00DE0F43">
        <w:rPr>
          <w:szCs w:val="24"/>
        </w:rPr>
        <w:t>(3), 529</w:t>
      </w:r>
      <w:r w:rsidR="005D47DC">
        <w:rPr>
          <w:szCs w:val="24"/>
        </w:rPr>
        <w:t>-546</w:t>
      </w:r>
      <w:r w:rsidRPr="00DE0F43">
        <w:rPr>
          <w:szCs w:val="24"/>
        </w:rPr>
        <w:t xml:space="preserve">. </w:t>
      </w:r>
    </w:p>
    <w:p w14:paraId="439E3A3A" w14:textId="77777777" w:rsidR="00AD5D3F" w:rsidRPr="00DE0F43" w:rsidRDefault="00AD5D3F" w:rsidP="00AD5D3F">
      <w:pPr>
        <w:pStyle w:val="EndNoteBibliography"/>
        <w:spacing w:after="240"/>
        <w:ind w:left="720" w:hanging="720"/>
        <w:rPr>
          <w:szCs w:val="24"/>
        </w:rPr>
      </w:pPr>
      <w:r w:rsidRPr="00DE0F43">
        <w:rPr>
          <w:szCs w:val="24"/>
        </w:rPr>
        <w:t xml:space="preserve">Westrup, C. (2012). In need of narratives of IS. </w:t>
      </w:r>
      <w:r w:rsidRPr="00DE0F43">
        <w:rPr>
          <w:i/>
          <w:szCs w:val="24"/>
        </w:rPr>
        <w:t>Journal of Information Technology</w:t>
      </w:r>
      <w:r w:rsidRPr="00DE0F43">
        <w:rPr>
          <w:szCs w:val="24"/>
        </w:rPr>
        <w:t>,</w:t>
      </w:r>
      <w:r w:rsidRPr="00DE0F43">
        <w:rPr>
          <w:i/>
          <w:szCs w:val="24"/>
        </w:rPr>
        <w:t xml:space="preserve"> 27</w:t>
      </w:r>
      <w:r w:rsidRPr="00DE0F43">
        <w:rPr>
          <w:szCs w:val="24"/>
        </w:rPr>
        <w:t xml:space="preserve">(2), 106-107. </w:t>
      </w:r>
    </w:p>
    <w:p w14:paraId="282CAD3F" w14:textId="50B8986F" w:rsidR="00AD5D3F" w:rsidRPr="00DE0F43" w:rsidRDefault="00AD5D3F" w:rsidP="00AD5D3F">
      <w:pPr>
        <w:pStyle w:val="EndNoteBibliography"/>
        <w:spacing w:after="240"/>
        <w:ind w:left="720" w:hanging="720"/>
        <w:rPr>
          <w:szCs w:val="24"/>
        </w:rPr>
      </w:pPr>
      <w:r w:rsidRPr="00DE0F43">
        <w:rPr>
          <w:szCs w:val="24"/>
        </w:rPr>
        <w:t xml:space="preserve">Winkler, T. J., Benlian, A., Piper, M., &amp; Hirsch, H. (2014). Bayer HealthCare Delivers a Dose of Reality for Cloud Payoff Mantras in Multinationals. </w:t>
      </w:r>
      <w:r w:rsidRPr="00DE0F43">
        <w:rPr>
          <w:i/>
          <w:szCs w:val="24"/>
        </w:rPr>
        <w:t>MIS Quarterly Executive</w:t>
      </w:r>
      <w:r w:rsidRPr="00DE0F43">
        <w:rPr>
          <w:szCs w:val="24"/>
        </w:rPr>
        <w:t>,</w:t>
      </w:r>
      <w:r w:rsidRPr="00DE0F43">
        <w:rPr>
          <w:i/>
          <w:szCs w:val="24"/>
        </w:rPr>
        <w:t xml:space="preserve"> 13</w:t>
      </w:r>
      <w:r w:rsidRPr="00DE0F43">
        <w:rPr>
          <w:szCs w:val="24"/>
        </w:rPr>
        <w:t>(4)</w:t>
      </w:r>
      <w:r w:rsidR="005D47DC">
        <w:rPr>
          <w:szCs w:val="24"/>
        </w:rPr>
        <w:t>, 13-47</w:t>
      </w:r>
      <w:r w:rsidRPr="00DE0F43">
        <w:rPr>
          <w:szCs w:val="24"/>
        </w:rPr>
        <w:t xml:space="preserve">. </w:t>
      </w:r>
    </w:p>
    <w:p w14:paraId="54FF0C1F" w14:textId="77777777" w:rsidR="00AD5D3F" w:rsidRPr="00DE0F43" w:rsidRDefault="00AD5D3F" w:rsidP="00AD5D3F">
      <w:pPr>
        <w:pStyle w:val="EndNoteBibliography"/>
        <w:spacing w:after="240"/>
        <w:ind w:left="720" w:hanging="720"/>
        <w:rPr>
          <w:szCs w:val="24"/>
        </w:rPr>
      </w:pPr>
      <w:r w:rsidRPr="00DE0F43">
        <w:rPr>
          <w:szCs w:val="24"/>
        </w:rPr>
        <w:t xml:space="preserve">Wolf, F., Aviv, A. J., &amp; Kuber, R. (2018). “It’s all about the start” classifying eyes-free mobile authentication techniques. </w:t>
      </w:r>
      <w:r w:rsidRPr="00DE0F43">
        <w:rPr>
          <w:i/>
          <w:szCs w:val="24"/>
        </w:rPr>
        <w:t>Journal of Information Security and Applications</w:t>
      </w:r>
      <w:r w:rsidRPr="00DE0F43">
        <w:rPr>
          <w:szCs w:val="24"/>
        </w:rPr>
        <w:t>,</w:t>
      </w:r>
      <w:r w:rsidRPr="00DE0F43">
        <w:rPr>
          <w:i/>
          <w:szCs w:val="24"/>
        </w:rPr>
        <w:t xml:space="preserve"> 41</w:t>
      </w:r>
      <w:r w:rsidRPr="00DE0F43">
        <w:rPr>
          <w:szCs w:val="24"/>
        </w:rPr>
        <w:t xml:space="preserve">, 28-40. </w:t>
      </w:r>
    </w:p>
    <w:p w14:paraId="5780F0FB" w14:textId="4CCA7FD6" w:rsidR="00AD5D3F" w:rsidRPr="00DE0F43" w:rsidRDefault="00AD5D3F" w:rsidP="00AD5D3F">
      <w:pPr>
        <w:pStyle w:val="EndNoteBibliography"/>
        <w:spacing w:after="240"/>
        <w:ind w:left="720" w:hanging="720"/>
        <w:rPr>
          <w:szCs w:val="24"/>
        </w:rPr>
      </w:pPr>
      <w:r w:rsidRPr="00DE0F43">
        <w:rPr>
          <w:szCs w:val="24"/>
        </w:rPr>
        <w:t xml:space="preserve">Wolfe, H. B. (1995). Computer security: for fun and profit. </w:t>
      </w:r>
      <w:r w:rsidRPr="00DE0F43">
        <w:rPr>
          <w:i/>
          <w:szCs w:val="24"/>
        </w:rPr>
        <w:t>Computers &amp; Security</w:t>
      </w:r>
      <w:r w:rsidRPr="00DE0F43">
        <w:rPr>
          <w:szCs w:val="24"/>
        </w:rPr>
        <w:t>,</w:t>
      </w:r>
      <w:r w:rsidRPr="00DE0F43">
        <w:rPr>
          <w:i/>
          <w:szCs w:val="24"/>
        </w:rPr>
        <w:t xml:space="preserve"> 12</w:t>
      </w:r>
      <w:r w:rsidRPr="00DE0F43">
        <w:rPr>
          <w:szCs w:val="24"/>
        </w:rPr>
        <w:t>(2), 113</w:t>
      </w:r>
      <w:r w:rsidR="005D47DC">
        <w:rPr>
          <w:szCs w:val="24"/>
        </w:rPr>
        <w:t>-115</w:t>
      </w:r>
      <w:r w:rsidRPr="00DE0F43">
        <w:rPr>
          <w:szCs w:val="24"/>
        </w:rPr>
        <w:t xml:space="preserve">. </w:t>
      </w:r>
    </w:p>
    <w:p w14:paraId="08A9A05C" w14:textId="72950C31" w:rsidR="00AD5D3F" w:rsidRPr="00DE0F43" w:rsidRDefault="00AD5D3F" w:rsidP="00AD5D3F">
      <w:pPr>
        <w:pStyle w:val="EndNoteBibliography"/>
        <w:spacing w:after="240"/>
        <w:ind w:left="720" w:hanging="720"/>
        <w:rPr>
          <w:szCs w:val="24"/>
        </w:rPr>
      </w:pPr>
      <w:r w:rsidRPr="00DE0F43">
        <w:rPr>
          <w:szCs w:val="24"/>
        </w:rPr>
        <w:lastRenderedPageBreak/>
        <w:t xml:space="preserve">Xu, F., Luo, X., &amp; Hsu, C. (2019). Anger or fear? Effects of discrete emotions on employee’s computer-related deviant behavior </w:t>
      </w:r>
      <w:r w:rsidRPr="00DE0F43">
        <w:rPr>
          <w:i/>
          <w:szCs w:val="24"/>
        </w:rPr>
        <w:t>Information &amp; Management</w:t>
      </w:r>
      <w:r w:rsidRPr="00DE0F43">
        <w:rPr>
          <w:szCs w:val="24"/>
        </w:rPr>
        <w:t>,</w:t>
      </w:r>
      <w:r w:rsidRPr="00DE0F43">
        <w:rPr>
          <w:i/>
          <w:szCs w:val="24"/>
        </w:rPr>
        <w:t xml:space="preserve"> 57</w:t>
      </w:r>
      <w:r w:rsidRPr="00DE0F43">
        <w:rPr>
          <w:szCs w:val="24"/>
        </w:rPr>
        <w:t>(3)</w:t>
      </w:r>
      <w:r w:rsidR="008D2D0D">
        <w:rPr>
          <w:szCs w:val="24"/>
        </w:rPr>
        <w:t>, 103180</w:t>
      </w:r>
      <w:r w:rsidRPr="00DE0F43">
        <w:rPr>
          <w:szCs w:val="24"/>
        </w:rPr>
        <w:t xml:space="preserve">. </w:t>
      </w:r>
      <w:r w:rsidRPr="001C56A3">
        <w:rPr>
          <w:szCs w:val="24"/>
        </w:rPr>
        <w:t>https://doi.org/10.1016/j.im.2019.103180</w:t>
      </w:r>
      <w:r w:rsidRPr="00DE0F43">
        <w:rPr>
          <w:szCs w:val="24"/>
        </w:rPr>
        <w:t xml:space="preserve"> </w:t>
      </w:r>
    </w:p>
    <w:p w14:paraId="6E798E5C" w14:textId="14E25A66" w:rsidR="00AD5D3F" w:rsidRPr="00DE0F43" w:rsidRDefault="00AD5D3F" w:rsidP="00AD5D3F">
      <w:pPr>
        <w:pStyle w:val="EndNoteBibliography"/>
        <w:spacing w:after="240"/>
        <w:ind w:left="720" w:hanging="720"/>
        <w:rPr>
          <w:szCs w:val="24"/>
        </w:rPr>
      </w:pPr>
      <w:r w:rsidRPr="00DE0F43">
        <w:rPr>
          <w:szCs w:val="24"/>
        </w:rPr>
        <w:t xml:space="preserve">Yang, H.-J., &amp; Farn, C. K. (2005). An investigation the factors affecting MIS student burnout in technical-vocational college </w:t>
      </w:r>
      <w:r w:rsidRPr="00DE0F43">
        <w:rPr>
          <w:i/>
          <w:szCs w:val="24"/>
        </w:rPr>
        <w:t>Computers in Human Behavior</w:t>
      </w:r>
      <w:r w:rsidRPr="00DE0F43">
        <w:rPr>
          <w:szCs w:val="24"/>
        </w:rPr>
        <w:t>,</w:t>
      </w:r>
      <w:r w:rsidRPr="00DE0F43">
        <w:rPr>
          <w:i/>
          <w:szCs w:val="24"/>
        </w:rPr>
        <w:t xml:space="preserve"> 21</w:t>
      </w:r>
      <w:r w:rsidRPr="00DE0F43">
        <w:rPr>
          <w:szCs w:val="24"/>
        </w:rPr>
        <w:t xml:space="preserve">(6), 917-932. </w:t>
      </w:r>
      <w:r w:rsidRPr="001C56A3">
        <w:rPr>
          <w:szCs w:val="24"/>
        </w:rPr>
        <w:t>https://doi.org/10.1016/j.chb.2004.03.001</w:t>
      </w:r>
      <w:r w:rsidRPr="00DE0F43">
        <w:rPr>
          <w:szCs w:val="24"/>
        </w:rPr>
        <w:t xml:space="preserve"> </w:t>
      </w:r>
    </w:p>
    <w:p w14:paraId="48574E51" w14:textId="4AB2B68C" w:rsidR="00AD5D3F" w:rsidRPr="00DE0F43" w:rsidRDefault="00AD5D3F" w:rsidP="00AD5D3F">
      <w:pPr>
        <w:pStyle w:val="EndNoteBibliography"/>
        <w:spacing w:after="240"/>
        <w:ind w:left="720" w:hanging="720"/>
        <w:rPr>
          <w:szCs w:val="24"/>
        </w:rPr>
      </w:pPr>
      <w:r w:rsidRPr="00DE0F43">
        <w:rPr>
          <w:szCs w:val="24"/>
        </w:rPr>
        <w:t xml:space="preserve">Yang, Z., Kankanhalli, A., Ng, B.-Y., &amp; Lim, J. T. Y. (2013). Analyzing the enabling factors for the organizational decision to adopt healthcare information systems </w:t>
      </w:r>
      <w:r w:rsidRPr="00DE0F43">
        <w:rPr>
          <w:i/>
          <w:szCs w:val="24"/>
        </w:rPr>
        <w:t>Decision Support Systems</w:t>
      </w:r>
      <w:r w:rsidRPr="00DE0F43">
        <w:rPr>
          <w:szCs w:val="24"/>
        </w:rPr>
        <w:t>,</w:t>
      </w:r>
      <w:r w:rsidRPr="00DE0F43">
        <w:rPr>
          <w:i/>
          <w:szCs w:val="24"/>
        </w:rPr>
        <w:t xml:space="preserve"> 55</w:t>
      </w:r>
      <w:r w:rsidRPr="00DE0F43">
        <w:rPr>
          <w:szCs w:val="24"/>
        </w:rPr>
        <w:t xml:space="preserve">(3), 764-776. </w:t>
      </w:r>
      <w:r w:rsidRPr="001C56A3">
        <w:rPr>
          <w:szCs w:val="24"/>
        </w:rPr>
        <w:t>https://doi.org/10.1016/j.dss.2013.03.002</w:t>
      </w:r>
      <w:r w:rsidRPr="00DE0F43">
        <w:rPr>
          <w:szCs w:val="24"/>
        </w:rPr>
        <w:t xml:space="preserve"> </w:t>
      </w:r>
    </w:p>
    <w:p w14:paraId="58644CAC" w14:textId="4511FB3E" w:rsidR="00AD5D3F" w:rsidRPr="00DE0F43" w:rsidRDefault="00AD5D3F" w:rsidP="00AD5D3F">
      <w:pPr>
        <w:pStyle w:val="EndNoteBibliography"/>
        <w:spacing w:after="240"/>
        <w:ind w:left="720" w:hanging="720"/>
        <w:rPr>
          <w:szCs w:val="24"/>
        </w:rPr>
      </w:pPr>
      <w:r w:rsidRPr="00DE0F43">
        <w:rPr>
          <w:szCs w:val="24"/>
        </w:rPr>
        <w:t xml:space="preserve">Yao, J., &amp; Cao, X. (2017). The balancing mechanism of social networking overuse and rational usage </w:t>
      </w:r>
      <w:r w:rsidRPr="00DE0F43">
        <w:rPr>
          <w:i/>
          <w:szCs w:val="24"/>
        </w:rPr>
        <w:t>Computers in Human Behavior</w:t>
      </w:r>
      <w:r w:rsidRPr="00DE0F43">
        <w:rPr>
          <w:szCs w:val="24"/>
        </w:rPr>
        <w:t>,</w:t>
      </w:r>
      <w:r w:rsidRPr="00DE0F43">
        <w:rPr>
          <w:i/>
          <w:szCs w:val="24"/>
        </w:rPr>
        <w:t xml:space="preserve"> 75</w:t>
      </w:r>
      <w:r w:rsidRPr="00DE0F43">
        <w:rPr>
          <w:szCs w:val="24"/>
        </w:rPr>
        <w:t xml:space="preserve">, 415-422. </w:t>
      </w:r>
      <w:r w:rsidRPr="001C56A3">
        <w:rPr>
          <w:szCs w:val="24"/>
        </w:rPr>
        <w:t>https://doi.org/10.1016/j.chb.2017.04.055</w:t>
      </w:r>
      <w:r w:rsidRPr="00DE0F43">
        <w:rPr>
          <w:szCs w:val="24"/>
        </w:rPr>
        <w:t xml:space="preserve"> </w:t>
      </w:r>
    </w:p>
    <w:p w14:paraId="1ADE34C2" w14:textId="5DE03FF4" w:rsidR="00AD5D3F" w:rsidRPr="00DE0F43" w:rsidRDefault="00AD5D3F" w:rsidP="00AD5D3F">
      <w:pPr>
        <w:pStyle w:val="EndNoteBibliography"/>
        <w:spacing w:after="240"/>
        <w:ind w:left="720" w:hanging="720"/>
        <w:rPr>
          <w:szCs w:val="24"/>
        </w:rPr>
      </w:pPr>
      <w:r w:rsidRPr="00DE0F43">
        <w:rPr>
          <w:szCs w:val="24"/>
        </w:rPr>
        <w:t xml:space="preserve">Yi, W., Ben, C., Xitong, G., &amp; Ting-Ting Chang, K. (2017). Understanding User Adaptation toward a New IT System in Organizations: A Social Network Perspective </w:t>
      </w:r>
      <w:r w:rsidRPr="00DE0F43">
        <w:rPr>
          <w:i/>
          <w:szCs w:val="24"/>
        </w:rPr>
        <w:t>Journal of the Association for Information Systems</w:t>
      </w:r>
      <w:r w:rsidRPr="00DE0F43">
        <w:rPr>
          <w:szCs w:val="24"/>
        </w:rPr>
        <w:t>,</w:t>
      </w:r>
      <w:r w:rsidRPr="00DE0F43">
        <w:rPr>
          <w:i/>
          <w:szCs w:val="24"/>
        </w:rPr>
        <w:t xml:space="preserve"> 18</w:t>
      </w:r>
      <w:r w:rsidRPr="00DE0F43">
        <w:rPr>
          <w:szCs w:val="24"/>
        </w:rPr>
        <w:t xml:space="preserve">(11), 787-813. </w:t>
      </w:r>
    </w:p>
    <w:p w14:paraId="599ABAE3" w14:textId="77777777" w:rsidR="00AD5D3F" w:rsidRPr="00DE0F43" w:rsidRDefault="00AD5D3F" w:rsidP="00AD5D3F">
      <w:pPr>
        <w:pStyle w:val="EndNoteBibliography"/>
        <w:spacing w:after="240"/>
        <w:ind w:left="720" w:hanging="720"/>
        <w:rPr>
          <w:szCs w:val="24"/>
        </w:rPr>
      </w:pPr>
      <w:r w:rsidRPr="00DE0F43">
        <w:rPr>
          <w:szCs w:val="24"/>
        </w:rPr>
        <w:t xml:space="preserve">Yu, J., Hu, P. J.-H., &amp; Cheng, T.-H. (2015). Role of affect in self-disclosure on social network websites: A test of two competing models. </w:t>
      </w:r>
      <w:r w:rsidRPr="00DE0F43">
        <w:rPr>
          <w:i/>
          <w:szCs w:val="24"/>
        </w:rPr>
        <w:t>Journal of Management Information Systems</w:t>
      </w:r>
      <w:r w:rsidRPr="00DE0F43">
        <w:rPr>
          <w:szCs w:val="24"/>
        </w:rPr>
        <w:t>,</w:t>
      </w:r>
      <w:r w:rsidRPr="00DE0F43">
        <w:rPr>
          <w:i/>
          <w:szCs w:val="24"/>
        </w:rPr>
        <w:t xml:space="preserve"> 32</w:t>
      </w:r>
      <w:r w:rsidRPr="00DE0F43">
        <w:rPr>
          <w:szCs w:val="24"/>
        </w:rPr>
        <w:t xml:space="preserve">(2), 239-277. </w:t>
      </w:r>
    </w:p>
    <w:p w14:paraId="20006A16" w14:textId="7F0269F3" w:rsidR="00AD5D3F" w:rsidRPr="00DE0F43" w:rsidRDefault="00AD5D3F" w:rsidP="00AD5D3F">
      <w:pPr>
        <w:pStyle w:val="EndNoteBibliography"/>
        <w:spacing w:after="240"/>
        <w:ind w:left="720" w:hanging="720"/>
        <w:rPr>
          <w:szCs w:val="24"/>
        </w:rPr>
      </w:pPr>
      <w:r w:rsidRPr="00DE0F43">
        <w:rPr>
          <w:szCs w:val="24"/>
        </w:rPr>
        <w:t xml:space="preserve">Yu, T.-K., Lin, M.-L., &amp; Liao, Y.-K. (2017). Understanding factors influencing information communication technology adoption behavior: The moderators of information literacy and digital skills </w:t>
      </w:r>
      <w:r w:rsidRPr="00DE0F43">
        <w:rPr>
          <w:i/>
          <w:szCs w:val="24"/>
        </w:rPr>
        <w:t>Computers in Human Behavior</w:t>
      </w:r>
      <w:r w:rsidRPr="00DE0F43">
        <w:rPr>
          <w:szCs w:val="24"/>
        </w:rPr>
        <w:t>,</w:t>
      </w:r>
      <w:r w:rsidRPr="00DE0F43">
        <w:rPr>
          <w:i/>
          <w:szCs w:val="24"/>
        </w:rPr>
        <w:t xml:space="preserve"> 71</w:t>
      </w:r>
      <w:r w:rsidRPr="00DE0F43">
        <w:rPr>
          <w:szCs w:val="24"/>
        </w:rPr>
        <w:t xml:space="preserve">, 196-208. </w:t>
      </w:r>
      <w:r w:rsidRPr="001C56A3">
        <w:rPr>
          <w:szCs w:val="24"/>
        </w:rPr>
        <w:t>https://doi.org/10.1016/j.chb.2017.02.005</w:t>
      </w:r>
      <w:r w:rsidRPr="00DE0F43">
        <w:rPr>
          <w:szCs w:val="24"/>
        </w:rPr>
        <w:t xml:space="preserve"> </w:t>
      </w:r>
    </w:p>
    <w:p w14:paraId="4AF29CBE" w14:textId="1AA78837" w:rsidR="00AD5D3F" w:rsidRPr="00DE0F43" w:rsidRDefault="00AD5D3F" w:rsidP="00AD5D3F">
      <w:pPr>
        <w:pStyle w:val="EndNoteBibliography"/>
        <w:spacing w:after="240"/>
        <w:ind w:left="720" w:hanging="720"/>
        <w:rPr>
          <w:szCs w:val="24"/>
        </w:rPr>
      </w:pPr>
      <w:r w:rsidRPr="00DE0F43">
        <w:rPr>
          <w:szCs w:val="24"/>
        </w:rPr>
        <w:t xml:space="preserve">Zahedi, F. M., Abbasi, A., &amp; Yan, C. (2015). Fake-Website Detection Tools: Identifying Elements that Promote Individuals' Use and Enhance Their Performance </w:t>
      </w:r>
      <w:r w:rsidRPr="00DE0F43">
        <w:rPr>
          <w:i/>
          <w:szCs w:val="24"/>
        </w:rPr>
        <w:t>Journal of the Association for Information Systems</w:t>
      </w:r>
      <w:r w:rsidRPr="00DE0F43">
        <w:rPr>
          <w:szCs w:val="24"/>
        </w:rPr>
        <w:t>,</w:t>
      </w:r>
      <w:r w:rsidRPr="00DE0F43">
        <w:rPr>
          <w:i/>
          <w:szCs w:val="24"/>
        </w:rPr>
        <w:t xml:space="preserve"> 16</w:t>
      </w:r>
      <w:r w:rsidRPr="00DE0F43">
        <w:rPr>
          <w:szCs w:val="24"/>
        </w:rPr>
        <w:t xml:space="preserve">(6), 448-484. </w:t>
      </w:r>
    </w:p>
    <w:p w14:paraId="5873FB31" w14:textId="77777777" w:rsidR="00AD5D3F" w:rsidRPr="00DE0F43" w:rsidRDefault="00AD5D3F" w:rsidP="00AD5D3F">
      <w:pPr>
        <w:pStyle w:val="EndNoteBibliography"/>
        <w:spacing w:after="240"/>
        <w:ind w:left="720" w:hanging="720"/>
        <w:rPr>
          <w:szCs w:val="24"/>
        </w:rPr>
      </w:pPr>
      <w:r w:rsidRPr="00DE0F43">
        <w:rPr>
          <w:szCs w:val="24"/>
        </w:rPr>
        <w:t xml:space="preserve">Zhang, S., Kwok, R. C.-W., Lowry, P. B., Liu, Z., &amp; Wu, J. (2019). The influence of role stress on self-disclosure on social networking sites: A conservation of resources perspective. </w:t>
      </w:r>
      <w:r w:rsidRPr="00DE0F43">
        <w:rPr>
          <w:i/>
          <w:szCs w:val="24"/>
        </w:rPr>
        <w:t>Information &amp; Management</w:t>
      </w:r>
      <w:r w:rsidRPr="00DE0F43">
        <w:rPr>
          <w:szCs w:val="24"/>
        </w:rPr>
        <w:t>,</w:t>
      </w:r>
      <w:r w:rsidRPr="00DE0F43">
        <w:rPr>
          <w:i/>
          <w:szCs w:val="24"/>
        </w:rPr>
        <w:t xml:space="preserve"> 56</w:t>
      </w:r>
      <w:r w:rsidRPr="00DE0F43">
        <w:rPr>
          <w:szCs w:val="24"/>
        </w:rPr>
        <w:t xml:space="preserve">(7), 103147. </w:t>
      </w:r>
    </w:p>
    <w:p w14:paraId="74785C4B" w14:textId="77777777" w:rsidR="00AD5D3F" w:rsidRPr="00DE0F43" w:rsidRDefault="00AD5D3F" w:rsidP="00AD5D3F">
      <w:pPr>
        <w:pStyle w:val="EndNoteBibliography"/>
        <w:spacing w:after="240"/>
        <w:ind w:left="720" w:hanging="720"/>
        <w:rPr>
          <w:szCs w:val="24"/>
        </w:rPr>
      </w:pPr>
      <w:r w:rsidRPr="00DE0F43">
        <w:rPr>
          <w:szCs w:val="24"/>
        </w:rPr>
        <w:t xml:space="preserve">Zhang, S., &amp; Leidner, D. (2018). From improper to acceptable: How perpetrators neutralize workplace bullying behaviors in the cyber world. </w:t>
      </w:r>
      <w:r w:rsidRPr="00DE0F43">
        <w:rPr>
          <w:i/>
          <w:szCs w:val="24"/>
        </w:rPr>
        <w:t>Information &amp; Management</w:t>
      </w:r>
      <w:r w:rsidRPr="00DE0F43">
        <w:rPr>
          <w:szCs w:val="24"/>
        </w:rPr>
        <w:t>,</w:t>
      </w:r>
      <w:r w:rsidRPr="00DE0F43">
        <w:rPr>
          <w:i/>
          <w:szCs w:val="24"/>
        </w:rPr>
        <w:t xml:space="preserve"> 55</w:t>
      </w:r>
      <w:r w:rsidRPr="00DE0F43">
        <w:rPr>
          <w:szCs w:val="24"/>
        </w:rPr>
        <w:t xml:space="preserve">(7), 850-865. </w:t>
      </w:r>
    </w:p>
    <w:p w14:paraId="48798CC0" w14:textId="77777777" w:rsidR="00AD5D3F" w:rsidRPr="00DE0F43" w:rsidRDefault="00AD5D3F" w:rsidP="00AD5D3F">
      <w:pPr>
        <w:pStyle w:val="EndNoteBibliography"/>
        <w:spacing w:after="240"/>
        <w:ind w:left="720" w:hanging="720"/>
        <w:rPr>
          <w:szCs w:val="24"/>
        </w:rPr>
      </w:pPr>
      <w:r w:rsidRPr="00DE0F43">
        <w:rPr>
          <w:szCs w:val="24"/>
        </w:rPr>
        <w:t xml:space="preserve">Zhang, S., Zhao, L., Lu, Y., &amp; Yang, J. (2016). Do you get tired of socializing? An empirical explanation of discontinuous usage behaviour in social network services. </w:t>
      </w:r>
      <w:r w:rsidRPr="00DE0F43">
        <w:rPr>
          <w:i/>
          <w:szCs w:val="24"/>
        </w:rPr>
        <w:t>Information &amp; Management</w:t>
      </w:r>
      <w:r w:rsidRPr="00DE0F43">
        <w:rPr>
          <w:szCs w:val="24"/>
        </w:rPr>
        <w:t>,</w:t>
      </w:r>
      <w:r w:rsidRPr="00DE0F43">
        <w:rPr>
          <w:i/>
          <w:szCs w:val="24"/>
        </w:rPr>
        <w:t xml:space="preserve"> 53</w:t>
      </w:r>
      <w:r w:rsidRPr="00DE0F43">
        <w:rPr>
          <w:szCs w:val="24"/>
        </w:rPr>
        <w:t xml:space="preserve">(7), 904-914. </w:t>
      </w:r>
    </w:p>
    <w:p w14:paraId="7A1983FA" w14:textId="2821600D" w:rsidR="00AD5D3F" w:rsidRPr="00DE0F43" w:rsidRDefault="00AD5D3F" w:rsidP="00AD5D3F">
      <w:pPr>
        <w:pStyle w:val="EndNoteBibliography"/>
        <w:spacing w:after="240"/>
        <w:ind w:left="720" w:hanging="720"/>
        <w:rPr>
          <w:szCs w:val="24"/>
        </w:rPr>
      </w:pPr>
      <w:r w:rsidRPr="00DE0F43">
        <w:rPr>
          <w:szCs w:val="24"/>
        </w:rPr>
        <w:t xml:space="preserve">Zhang, X., Liu, S., Chen, X., Wang, L., Gao, B., &amp; Zhu, Q. (2018). Health information privacy concerns, antecedents, and information disclosure intention in online health communities </w:t>
      </w:r>
      <w:r w:rsidRPr="00DE0F43">
        <w:rPr>
          <w:i/>
          <w:szCs w:val="24"/>
        </w:rPr>
        <w:t>Information &amp; Management</w:t>
      </w:r>
      <w:r w:rsidRPr="00DE0F43">
        <w:rPr>
          <w:szCs w:val="24"/>
        </w:rPr>
        <w:t>,</w:t>
      </w:r>
      <w:r w:rsidRPr="00DE0F43">
        <w:rPr>
          <w:i/>
          <w:szCs w:val="24"/>
        </w:rPr>
        <w:t xml:space="preserve"> 55</w:t>
      </w:r>
      <w:r w:rsidRPr="00DE0F43">
        <w:rPr>
          <w:szCs w:val="24"/>
        </w:rPr>
        <w:t xml:space="preserve">(4), 482-493. </w:t>
      </w:r>
      <w:r w:rsidRPr="001C56A3">
        <w:rPr>
          <w:szCs w:val="24"/>
        </w:rPr>
        <w:t>https://doi.org/10.1016/j.im.2017.11.003</w:t>
      </w:r>
      <w:r w:rsidRPr="00DE0F43">
        <w:rPr>
          <w:szCs w:val="24"/>
        </w:rPr>
        <w:t xml:space="preserve"> </w:t>
      </w:r>
    </w:p>
    <w:p w14:paraId="3FE9130B" w14:textId="164C9A43" w:rsidR="00AD5D3F" w:rsidRPr="00DE0F43" w:rsidRDefault="00AD5D3F" w:rsidP="00AD5D3F">
      <w:pPr>
        <w:pStyle w:val="EndNoteBibliography"/>
        <w:ind w:left="720" w:hanging="720"/>
        <w:rPr>
          <w:szCs w:val="24"/>
        </w:rPr>
      </w:pPr>
      <w:r w:rsidRPr="00DE0F43">
        <w:rPr>
          <w:szCs w:val="24"/>
        </w:rPr>
        <w:lastRenderedPageBreak/>
        <w:t xml:space="preserve">Zheng, X., &amp; Lee, M. K. O. (2016). Excessive use of mobile social networking sites: Negative consequences on individuals. </w:t>
      </w:r>
      <w:r w:rsidRPr="00DE0F43">
        <w:rPr>
          <w:i/>
          <w:szCs w:val="24"/>
        </w:rPr>
        <w:t>Computers in Human Behavior</w:t>
      </w:r>
      <w:r w:rsidR="00D57CFC">
        <w:rPr>
          <w:i/>
          <w:szCs w:val="24"/>
        </w:rPr>
        <w:t>, 65</w:t>
      </w:r>
      <w:r w:rsidR="00D57CFC">
        <w:rPr>
          <w:iCs/>
          <w:szCs w:val="24"/>
        </w:rPr>
        <w:t>, 65-76</w:t>
      </w:r>
      <w:r w:rsidRPr="00DE0F43">
        <w:rPr>
          <w:szCs w:val="24"/>
        </w:rPr>
        <w:t xml:space="preserve">. </w:t>
      </w:r>
      <w:r w:rsidRPr="001C56A3">
        <w:rPr>
          <w:szCs w:val="24"/>
        </w:rPr>
        <w:t>https://doi.org/10.1016/j.chb.2016.08.011</w:t>
      </w:r>
      <w:r w:rsidRPr="00DE0F43">
        <w:rPr>
          <w:szCs w:val="24"/>
        </w:rPr>
        <w:t xml:space="preserve"> </w:t>
      </w:r>
    </w:p>
    <w:p w14:paraId="6B8C6556" w14:textId="77777777" w:rsidR="00AD5D3F" w:rsidRPr="00DE0F43" w:rsidRDefault="00AD5D3F" w:rsidP="00AD5D3F">
      <w:pPr>
        <w:rPr>
          <w:rFonts w:cs="Times New Roman"/>
          <w:color w:val="000000" w:themeColor="text1"/>
          <w:szCs w:val="24"/>
        </w:rPr>
      </w:pPr>
    </w:p>
    <w:bookmarkEnd w:id="162"/>
    <w:p w14:paraId="04187401" w14:textId="77777777" w:rsidR="00AD5D3F" w:rsidRDefault="00AD5D3F" w:rsidP="00AD5D3F"/>
    <w:p w14:paraId="58C3C628" w14:textId="0926F92D" w:rsidR="00AD5D3F" w:rsidRDefault="00AD5D3F" w:rsidP="003E5B95">
      <w:pPr>
        <w:ind w:firstLine="0"/>
        <w:sectPr w:rsidR="00AD5D3F" w:rsidSect="003E5B95">
          <w:pgSz w:w="12240" w:h="15840"/>
          <w:pgMar w:top="1440" w:right="1440" w:bottom="1440" w:left="1440" w:header="720" w:footer="720" w:gutter="0"/>
          <w:cols w:space="720"/>
          <w:titlePg/>
          <w:docGrid w:linePitch="360"/>
        </w:sectPr>
      </w:pPr>
    </w:p>
    <w:p w14:paraId="6995C505" w14:textId="77777777" w:rsidR="003E5B95" w:rsidRPr="00507804" w:rsidRDefault="003E5B95" w:rsidP="003E5B95">
      <w:pPr>
        <w:pStyle w:val="Heading1"/>
        <w:rPr>
          <w:b/>
          <w:bCs/>
        </w:rPr>
      </w:pPr>
      <w:bookmarkStart w:id="163" w:name="_Toc74087521"/>
      <w:bookmarkStart w:id="164" w:name="_Toc74258637"/>
      <w:bookmarkStart w:id="165" w:name="_Toc74045236"/>
      <w:r w:rsidRPr="00507804">
        <w:rPr>
          <w:b/>
          <w:bCs/>
        </w:rPr>
        <w:lastRenderedPageBreak/>
        <w:t>APPENDIX C: SUMMARY OF STRESS RESEARCH IN IS</w:t>
      </w:r>
      <w:bookmarkEnd w:id="163"/>
      <w:bookmarkEnd w:id="164"/>
    </w:p>
    <w:p w14:paraId="31B43E83" w14:textId="77777777" w:rsidR="003E5B95" w:rsidRPr="00AD2588" w:rsidRDefault="003E5B95" w:rsidP="003E5B95">
      <w:pPr>
        <w:pStyle w:val="Caption"/>
        <w:keepNext/>
        <w:spacing w:line="480" w:lineRule="auto"/>
        <w:rPr>
          <w:sz w:val="24"/>
          <w:szCs w:val="24"/>
        </w:rPr>
      </w:pPr>
      <w:bookmarkStart w:id="166" w:name="_Toc73955258"/>
      <w:bookmarkStart w:id="167" w:name="_Toc74074416"/>
      <w:bookmarkEnd w:id="165"/>
      <w:r w:rsidRPr="00AD2588">
        <w:rPr>
          <w:sz w:val="24"/>
          <w:szCs w:val="24"/>
        </w:rPr>
        <w:t xml:space="preserve">Table C1 </w:t>
      </w:r>
      <w:bookmarkStart w:id="168" w:name="_Toc73917978"/>
    </w:p>
    <w:p w14:paraId="6ACEFE6E" w14:textId="77777777" w:rsidR="003E5B95" w:rsidRPr="00AD2588" w:rsidRDefault="003E5B95" w:rsidP="003E5B95">
      <w:pPr>
        <w:pStyle w:val="Caption"/>
        <w:keepNext/>
        <w:spacing w:line="480" w:lineRule="auto"/>
        <w:rPr>
          <w:b w:val="0"/>
          <w:bCs/>
          <w:i/>
          <w:iCs w:val="0"/>
          <w:sz w:val="24"/>
          <w:szCs w:val="24"/>
        </w:rPr>
      </w:pPr>
      <w:r w:rsidRPr="00AD2588">
        <w:rPr>
          <w:b w:val="0"/>
          <w:bCs/>
          <w:i/>
          <w:iCs w:val="0"/>
          <w:sz w:val="24"/>
          <w:szCs w:val="24"/>
        </w:rPr>
        <w:t>Synthesis of Literature as per McGrath’s (1970) Stress Process</w:t>
      </w:r>
      <w:bookmarkEnd w:id="166"/>
      <w:bookmarkEnd w:id="167"/>
      <w:bookmarkEnd w:id="168"/>
    </w:p>
    <w:tbl>
      <w:tblPr>
        <w:tblStyle w:val="PlainTable4"/>
        <w:tblW w:w="5000" w:type="pct"/>
        <w:tblLook w:val="04A0" w:firstRow="1" w:lastRow="0" w:firstColumn="1" w:lastColumn="0" w:noHBand="0" w:noVBand="1"/>
      </w:tblPr>
      <w:tblGrid>
        <w:gridCol w:w="1536"/>
        <w:gridCol w:w="1803"/>
        <w:gridCol w:w="1829"/>
        <w:gridCol w:w="1969"/>
        <w:gridCol w:w="2223"/>
      </w:tblGrid>
      <w:tr w:rsidR="003E5B95" w:rsidRPr="00D44A44" w14:paraId="06CFACD9" w14:textId="77777777" w:rsidTr="003E5B95">
        <w:trPr>
          <w:cnfStyle w:val="100000000000" w:firstRow="1" w:lastRow="0" w:firstColumn="0" w:lastColumn="0" w:oddVBand="0" w:evenVBand="0" w:oddHBand="0" w:evenHBand="0" w:firstRowFirstColumn="0" w:firstRowLastColumn="0" w:lastRowFirstColumn="0" w:lastRowLastColumn="0"/>
          <w:trHeight w:val="521"/>
          <w:tblHeader/>
        </w:trPr>
        <w:tc>
          <w:tcPr>
            <w:cnfStyle w:val="001000000000" w:firstRow="0" w:lastRow="0" w:firstColumn="1" w:lastColumn="0" w:oddVBand="0" w:evenVBand="0" w:oddHBand="0" w:evenHBand="0" w:firstRowFirstColumn="0" w:firstRowLastColumn="0" w:lastRowFirstColumn="0" w:lastRowLastColumn="0"/>
            <w:tcW w:w="762" w:type="pct"/>
            <w:tcBorders>
              <w:top w:val="single" w:sz="4" w:space="0" w:color="auto"/>
              <w:bottom w:val="single" w:sz="4" w:space="0" w:color="auto"/>
              <w:right w:val="single" w:sz="4" w:space="0" w:color="auto"/>
            </w:tcBorders>
            <w:hideMark/>
          </w:tcPr>
          <w:p w14:paraId="2203AFCF"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szCs w:val="24"/>
              </w:rPr>
              <w:t>Articles</w:t>
            </w:r>
          </w:p>
        </w:tc>
        <w:tc>
          <w:tcPr>
            <w:tcW w:w="893" w:type="pct"/>
            <w:tcBorders>
              <w:top w:val="single" w:sz="4" w:space="0" w:color="auto"/>
              <w:left w:val="single" w:sz="4" w:space="0" w:color="auto"/>
              <w:bottom w:val="single" w:sz="4" w:space="0" w:color="auto"/>
            </w:tcBorders>
            <w:hideMark/>
          </w:tcPr>
          <w:p w14:paraId="027C56C5" w14:textId="77777777" w:rsidR="003E5B95" w:rsidRPr="00D44A44" w:rsidRDefault="003E5B95" w:rsidP="003E5B9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D44A44">
              <w:rPr>
                <w:rFonts w:eastAsia="Times New Roman" w:cs="Times New Roman"/>
                <w:b w:val="0"/>
                <w:bCs w:val="0"/>
                <w:szCs w:val="24"/>
              </w:rPr>
              <w:t>Demands</w:t>
            </w:r>
          </w:p>
        </w:tc>
        <w:tc>
          <w:tcPr>
            <w:tcW w:w="905" w:type="pct"/>
            <w:tcBorders>
              <w:top w:val="single" w:sz="4" w:space="0" w:color="auto"/>
              <w:bottom w:val="single" w:sz="4" w:space="0" w:color="auto"/>
            </w:tcBorders>
            <w:hideMark/>
          </w:tcPr>
          <w:p w14:paraId="77196A60" w14:textId="77777777" w:rsidR="003E5B95" w:rsidRPr="00D44A44" w:rsidRDefault="003E5B95" w:rsidP="003E5B9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D44A44">
              <w:rPr>
                <w:rFonts w:eastAsia="Times New Roman" w:cs="Times New Roman"/>
                <w:b w:val="0"/>
                <w:bCs w:val="0"/>
                <w:szCs w:val="24"/>
              </w:rPr>
              <w:t>Appraisal</w:t>
            </w:r>
          </w:p>
        </w:tc>
        <w:tc>
          <w:tcPr>
            <w:tcW w:w="1135" w:type="pct"/>
            <w:tcBorders>
              <w:top w:val="single" w:sz="4" w:space="0" w:color="auto"/>
              <w:bottom w:val="single" w:sz="4" w:space="0" w:color="auto"/>
            </w:tcBorders>
            <w:hideMark/>
          </w:tcPr>
          <w:p w14:paraId="2512E887" w14:textId="77777777" w:rsidR="003E5B95" w:rsidRPr="00D44A44" w:rsidRDefault="003E5B95" w:rsidP="003E5B9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D44A44">
              <w:rPr>
                <w:rFonts w:eastAsia="Times New Roman" w:cs="Times New Roman"/>
                <w:b w:val="0"/>
                <w:bCs w:val="0"/>
                <w:szCs w:val="24"/>
              </w:rPr>
              <w:t>Stress Response (Psychological)</w:t>
            </w:r>
          </w:p>
        </w:tc>
        <w:tc>
          <w:tcPr>
            <w:tcW w:w="1305" w:type="pct"/>
            <w:tcBorders>
              <w:top w:val="single" w:sz="4" w:space="0" w:color="auto"/>
              <w:bottom w:val="single" w:sz="4" w:space="0" w:color="auto"/>
            </w:tcBorders>
            <w:hideMark/>
          </w:tcPr>
          <w:p w14:paraId="616F52FD" w14:textId="77777777" w:rsidR="003E5B95" w:rsidRPr="00D44A44" w:rsidRDefault="003E5B95" w:rsidP="003E5B95">
            <w:pPr>
              <w:spacing w:line="240" w:lineRule="auto"/>
              <w:ind w:firstLine="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szCs w:val="24"/>
              </w:rPr>
            </w:pPr>
            <w:r w:rsidRPr="00D44A44">
              <w:rPr>
                <w:rFonts w:eastAsia="Times New Roman" w:cs="Times New Roman"/>
                <w:b w:val="0"/>
                <w:bCs w:val="0"/>
                <w:szCs w:val="24"/>
              </w:rPr>
              <w:t>Stress Related Outcomes (Behavioral)</w:t>
            </w:r>
          </w:p>
        </w:tc>
      </w:tr>
      <w:tr w:rsidR="003E5B95" w:rsidRPr="00D44A44" w14:paraId="24A76019" w14:textId="77777777" w:rsidTr="003E5B95">
        <w:trPr>
          <w:cnfStyle w:val="000000100000" w:firstRow="0" w:lastRow="0" w:firstColumn="0" w:lastColumn="0" w:oddVBand="0" w:evenVBand="0" w:oddHBand="1" w:evenHBand="0" w:firstRowFirstColumn="0" w:firstRowLastColumn="0" w:lastRowFirstColumn="0" w:lastRowLastColumn="0"/>
          <w:trHeight w:val="899"/>
        </w:trPr>
        <w:tc>
          <w:tcPr>
            <w:cnfStyle w:val="001000000000" w:firstRow="0" w:lastRow="0" w:firstColumn="1" w:lastColumn="0" w:oddVBand="0" w:evenVBand="0" w:oddHBand="0" w:evenHBand="0" w:firstRowFirstColumn="0" w:firstRowLastColumn="0" w:lastRowFirstColumn="0" w:lastRowLastColumn="0"/>
            <w:tcW w:w="762" w:type="pct"/>
            <w:tcBorders>
              <w:top w:val="single" w:sz="4" w:space="0" w:color="auto"/>
              <w:right w:val="single" w:sz="4" w:space="0" w:color="auto"/>
            </w:tcBorders>
            <w:hideMark/>
          </w:tcPr>
          <w:p w14:paraId="6826BAC0" w14:textId="1EB03CCC"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Benamati et al.</w:t>
            </w:r>
            <w:r w:rsidR="00803720">
              <w:rPr>
                <w:rFonts w:eastAsia="Times New Roman" w:cs="Times New Roman"/>
                <w:b w:val="0"/>
                <w:bCs w:val="0"/>
                <w:noProof/>
                <w:szCs w:val="24"/>
              </w:rPr>
              <w:t xml:space="preserve">, </w:t>
            </w:r>
            <w:r w:rsidRPr="00D44A44">
              <w:rPr>
                <w:rFonts w:eastAsia="Times New Roman" w:cs="Times New Roman"/>
                <w:b w:val="0"/>
                <w:bCs w:val="0"/>
                <w:noProof/>
                <w:szCs w:val="24"/>
              </w:rPr>
              <w:t>(1997)</w:t>
            </w:r>
          </w:p>
        </w:tc>
        <w:tc>
          <w:tcPr>
            <w:tcW w:w="893" w:type="pct"/>
            <w:tcBorders>
              <w:top w:val="single" w:sz="4" w:space="0" w:color="auto"/>
              <w:left w:val="single" w:sz="4" w:space="0" w:color="auto"/>
            </w:tcBorders>
            <w:hideMark/>
          </w:tcPr>
          <w:p w14:paraId="30D7414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Rapid change in information technology</w:t>
            </w:r>
          </w:p>
        </w:tc>
        <w:tc>
          <w:tcPr>
            <w:tcW w:w="905" w:type="pct"/>
            <w:tcBorders>
              <w:top w:val="single" w:sz="4" w:space="0" w:color="auto"/>
            </w:tcBorders>
            <w:hideMark/>
          </w:tcPr>
          <w:p w14:paraId="4CEF047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tcBorders>
              <w:top w:val="single" w:sz="4" w:space="0" w:color="auto"/>
            </w:tcBorders>
            <w:hideMark/>
          </w:tcPr>
          <w:p w14:paraId="088C6A96"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Education and training, inaction, internal support, vendor support, new procedures, and persuasion</w:t>
            </w:r>
          </w:p>
        </w:tc>
        <w:tc>
          <w:tcPr>
            <w:tcW w:w="1305" w:type="pct"/>
            <w:tcBorders>
              <w:top w:val="single" w:sz="4" w:space="0" w:color="auto"/>
            </w:tcBorders>
            <w:hideMark/>
          </w:tcPr>
          <w:p w14:paraId="0DE1A5E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0C8CA10F" w14:textId="77777777" w:rsidTr="003E5B95">
        <w:trPr>
          <w:trHeight w:val="35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41E613E"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Mak and Sockel (2001)</w:t>
            </w:r>
          </w:p>
        </w:tc>
        <w:tc>
          <w:tcPr>
            <w:tcW w:w="893" w:type="pct"/>
            <w:tcBorders>
              <w:left w:val="single" w:sz="4" w:space="0" w:color="auto"/>
            </w:tcBorders>
            <w:hideMark/>
          </w:tcPr>
          <w:p w14:paraId="5C85704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IS career as a whole</w:t>
            </w:r>
          </w:p>
        </w:tc>
        <w:tc>
          <w:tcPr>
            <w:tcW w:w="905" w:type="pct"/>
            <w:hideMark/>
          </w:tcPr>
          <w:p w14:paraId="063104B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218EF82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Burnout</w:t>
            </w:r>
          </w:p>
        </w:tc>
        <w:tc>
          <w:tcPr>
            <w:tcW w:w="1305" w:type="pct"/>
            <w:hideMark/>
          </w:tcPr>
          <w:p w14:paraId="04D222C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(employee) retention </w:t>
            </w:r>
          </w:p>
        </w:tc>
      </w:tr>
      <w:tr w:rsidR="003E5B95" w:rsidRPr="00D44A44" w14:paraId="1C2C1B19" w14:textId="77777777" w:rsidTr="003E5B95">
        <w:trPr>
          <w:cnfStyle w:val="000000100000" w:firstRow="0" w:lastRow="0" w:firstColumn="0" w:lastColumn="0" w:oddVBand="0" w:evenVBand="0" w:oddHBand="1" w:evenHBand="0" w:firstRowFirstColumn="0" w:firstRowLastColumn="0" w:lastRowFirstColumn="0" w:lastRowLastColumn="0"/>
          <w:trHeight w:val="19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0A0B667D"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Aghaz and Sheikh (2016)</w:t>
            </w:r>
          </w:p>
        </w:tc>
        <w:tc>
          <w:tcPr>
            <w:tcW w:w="893" w:type="pct"/>
            <w:tcBorders>
              <w:left w:val="single" w:sz="4" w:space="0" w:color="auto"/>
            </w:tcBorders>
            <w:hideMark/>
          </w:tcPr>
          <w:p w14:paraId="7267791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905" w:type="pct"/>
            <w:hideMark/>
          </w:tcPr>
          <w:p w14:paraId="069C48B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49F19C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burnout among knowledge workers in terms of emotional exhaustion decreased personal efficacy, and cynicism</w:t>
            </w:r>
          </w:p>
        </w:tc>
        <w:tc>
          <w:tcPr>
            <w:tcW w:w="1305" w:type="pct"/>
            <w:hideMark/>
          </w:tcPr>
          <w:p w14:paraId="56ABE99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proofErr w:type="spellStart"/>
            <w:r w:rsidRPr="00D44A44">
              <w:rPr>
                <w:rFonts w:eastAsia="Times New Roman" w:cs="Times New Roman"/>
                <w:szCs w:val="24"/>
              </w:rPr>
              <w:t>Cyberloafing</w:t>
            </w:r>
            <w:proofErr w:type="spellEnd"/>
            <w:r w:rsidRPr="00D44A44">
              <w:rPr>
                <w:rFonts w:eastAsia="Times New Roman" w:cs="Times New Roman"/>
                <w:szCs w:val="24"/>
              </w:rPr>
              <w:t xml:space="preserve"> activities (social-to communicate with people, informational-to retrieve information, leisure- to indulge, and virtual-to pursue and satisfying the wants of virtual self) and </w:t>
            </w:r>
            <w:proofErr w:type="spellStart"/>
            <w:r w:rsidRPr="00D44A44">
              <w:rPr>
                <w:rFonts w:eastAsia="Times New Roman" w:cs="Times New Roman"/>
                <w:szCs w:val="24"/>
              </w:rPr>
              <w:t>cyberloafing</w:t>
            </w:r>
            <w:proofErr w:type="spellEnd"/>
            <w:r w:rsidRPr="00D44A44">
              <w:rPr>
                <w:rFonts w:eastAsia="Times New Roman" w:cs="Times New Roman"/>
                <w:szCs w:val="24"/>
              </w:rPr>
              <w:t xml:space="preserve"> behavior (recovery, learning, deviant, and addiction)</w:t>
            </w:r>
          </w:p>
        </w:tc>
      </w:tr>
      <w:tr w:rsidR="003E5B95" w:rsidRPr="00D44A44" w14:paraId="398B276D" w14:textId="77777777" w:rsidTr="003E5B95">
        <w:trPr>
          <w:trHeight w:val="135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3184321"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Ahuja et al. (2007)</w:t>
            </w:r>
          </w:p>
        </w:tc>
        <w:tc>
          <w:tcPr>
            <w:tcW w:w="893" w:type="pct"/>
            <w:tcBorders>
              <w:left w:val="single" w:sz="4" w:space="0" w:color="auto"/>
            </w:tcBorders>
            <w:hideMark/>
          </w:tcPr>
          <w:p w14:paraId="34D439E8"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work overload, job autonomy, work-family conflict, and fairness of rewards</w:t>
            </w:r>
          </w:p>
        </w:tc>
        <w:tc>
          <w:tcPr>
            <w:tcW w:w="905" w:type="pct"/>
            <w:hideMark/>
          </w:tcPr>
          <w:p w14:paraId="4CBE48D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AFDCFA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 exhaustion </w:t>
            </w:r>
          </w:p>
        </w:tc>
        <w:tc>
          <w:tcPr>
            <w:tcW w:w="1305" w:type="pct"/>
            <w:hideMark/>
          </w:tcPr>
          <w:p w14:paraId="3614083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Organizational commitment and turnover intention</w:t>
            </w:r>
          </w:p>
        </w:tc>
      </w:tr>
      <w:tr w:rsidR="003E5B95" w:rsidRPr="00D44A44" w14:paraId="485BE5AE" w14:textId="77777777" w:rsidTr="003E5B95">
        <w:trPr>
          <w:cnfStyle w:val="000000100000" w:firstRow="0" w:lastRow="0" w:firstColumn="0" w:lastColumn="0" w:oddVBand="0" w:evenVBand="0" w:oddHBand="1" w:evenHBand="0" w:firstRowFirstColumn="0" w:firstRowLastColumn="0" w:lastRowFirstColumn="0" w:lastRowLastColumn="0"/>
          <w:trHeight w:val="74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A74627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Allen et al. (2008)</w:t>
            </w:r>
          </w:p>
        </w:tc>
        <w:tc>
          <w:tcPr>
            <w:tcW w:w="893" w:type="pct"/>
            <w:tcBorders>
              <w:left w:val="single" w:sz="4" w:space="0" w:color="auto"/>
            </w:tcBorders>
            <w:hideMark/>
          </w:tcPr>
          <w:p w14:paraId="4DF1DE8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w:t>
            </w:r>
            <w:r w:rsidRPr="00D44A44">
              <w:rPr>
                <w:rStyle w:val="FootnoteReference"/>
                <w:rFonts w:eastAsia="Times New Roman"/>
                <w:szCs w:val="24"/>
              </w:rPr>
              <w:footnoteReference w:id="3"/>
            </w:r>
            <w:r w:rsidRPr="00D44A44">
              <w:rPr>
                <w:rFonts w:eastAsia="Times New Roman" w:cs="Times New Roman"/>
                <w:szCs w:val="24"/>
              </w:rPr>
              <w:t xml:space="preserve"> role ambiguity, role conflict</w:t>
            </w:r>
          </w:p>
        </w:tc>
        <w:tc>
          <w:tcPr>
            <w:tcW w:w="905" w:type="pct"/>
            <w:hideMark/>
          </w:tcPr>
          <w:p w14:paraId="52F2811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C50057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64EF389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organizational support of IT employees</w:t>
            </w:r>
          </w:p>
        </w:tc>
      </w:tr>
      <w:tr w:rsidR="003E5B95" w:rsidRPr="00D44A44" w14:paraId="51D9D25B" w14:textId="77777777" w:rsidTr="003E5B95">
        <w:trPr>
          <w:trHeight w:val="139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08872DB7" w14:textId="77777777" w:rsidR="003E5B95" w:rsidRPr="00D44A44" w:rsidRDefault="003E5B95" w:rsidP="003E5B95">
            <w:pPr>
              <w:spacing w:line="240" w:lineRule="auto"/>
              <w:ind w:firstLine="0"/>
              <w:rPr>
                <w:rFonts w:eastAsia="Times New Roman" w:cs="Times New Roman"/>
                <w:b w:val="0"/>
                <w:bCs w:val="0"/>
                <w:i/>
                <w:iCs/>
                <w:szCs w:val="24"/>
              </w:rPr>
            </w:pPr>
            <w:r w:rsidRPr="00D44A44">
              <w:rPr>
                <w:rFonts w:eastAsia="Times New Roman" w:cs="Times New Roman"/>
                <w:b w:val="0"/>
                <w:bCs w:val="0"/>
                <w:i/>
                <w:iCs/>
                <w:noProof/>
                <w:color w:val="222222"/>
                <w:szCs w:val="24"/>
              </w:rPr>
              <w:lastRenderedPageBreak/>
              <w:t>Ament and Haag (2016)</w:t>
            </w:r>
          </w:p>
        </w:tc>
        <w:tc>
          <w:tcPr>
            <w:tcW w:w="893" w:type="pct"/>
            <w:tcBorders>
              <w:left w:val="single" w:sz="4" w:space="0" w:color="auto"/>
            </w:tcBorders>
          </w:tcPr>
          <w:p w14:paraId="44F16F5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Information security policies and associated measures such as employee training, and educational program</w:t>
            </w:r>
          </w:p>
        </w:tc>
        <w:tc>
          <w:tcPr>
            <w:tcW w:w="905" w:type="pct"/>
          </w:tcPr>
          <w:p w14:paraId="7D4A313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c>
          <w:tcPr>
            <w:tcW w:w="1135" w:type="pct"/>
          </w:tcPr>
          <w:p w14:paraId="224F743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c>
          <w:tcPr>
            <w:tcW w:w="1305" w:type="pct"/>
          </w:tcPr>
          <w:p w14:paraId="5D2AE68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ISP compliance intention</w:t>
            </w:r>
          </w:p>
        </w:tc>
      </w:tr>
      <w:tr w:rsidR="003E5B95" w:rsidRPr="00D44A44" w14:paraId="2CBA6AF3" w14:textId="77777777" w:rsidTr="003E5B95">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C67D1B0"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Ann Sykes (2015)</w:t>
            </w:r>
          </w:p>
        </w:tc>
        <w:tc>
          <w:tcPr>
            <w:tcW w:w="893" w:type="pct"/>
            <w:tcBorders>
              <w:left w:val="single" w:sz="4" w:space="0" w:color="auto"/>
            </w:tcBorders>
            <w:hideMark/>
          </w:tcPr>
          <w:p w14:paraId="25E4249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905" w:type="pct"/>
            <w:hideMark/>
          </w:tcPr>
          <w:p w14:paraId="3C5D15B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5A16EB4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stress,</w:t>
            </w:r>
          </w:p>
          <w:p w14:paraId="3C4D5F9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satisfaction, system satisfaction, job performance</w:t>
            </w:r>
          </w:p>
        </w:tc>
        <w:tc>
          <w:tcPr>
            <w:tcW w:w="1305" w:type="pct"/>
            <w:hideMark/>
          </w:tcPr>
          <w:p w14:paraId="7F59A27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2993A6D3" w14:textId="77777777" w:rsidTr="003E5B95">
        <w:trPr>
          <w:trHeight w:val="74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06A5BD47"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Armstrong et al. (2015)</w:t>
            </w:r>
          </w:p>
        </w:tc>
        <w:tc>
          <w:tcPr>
            <w:tcW w:w="893" w:type="pct"/>
            <w:tcBorders>
              <w:left w:val="single" w:sz="4" w:space="0" w:color="auto"/>
            </w:tcBorders>
            <w:hideMark/>
          </w:tcPr>
          <w:p w14:paraId="1F5B0DD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work overload, career-family conflict</w:t>
            </w:r>
          </w:p>
        </w:tc>
        <w:tc>
          <w:tcPr>
            <w:tcW w:w="905" w:type="pct"/>
            <w:hideMark/>
          </w:tcPr>
          <w:p w14:paraId="032E715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27BE924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Exhaustion from IS career experience</w:t>
            </w:r>
          </w:p>
        </w:tc>
        <w:tc>
          <w:tcPr>
            <w:tcW w:w="1305" w:type="pct"/>
            <w:hideMark/>
          </w:tcPr>
          <w:p w14:paraId="54FDD9A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Turn away intention</w:t>
            </w:r>
          </w:p>
        </w:tc>
      </w:tr>
      <w:tr w:rsidR="003E5B95" w:rsidRPr="00D44A44" w14:paraId="676043AA" w14:textId="77777777" w:rsidTr="003E5B95">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073A740"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Armstrong et al. (2007)</w:t>
            </w:r>
          </w:p>
        </w:tc>
        <w:tc>
          <w:tcPr>
            <w:tcW w:w="893" w:type="pct"/>
            <w:tcBorders>
              <w:left w:val="single" w:sz="4" w:space="0" w:color="auto"/>
            </w:tcBorders>
            <w:hideMark/>
          </w:tcPr>
          <w:p w14:paraId="0FE3F76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Work-life conflict </w:t>
            </w:r>
          </w:p>
        </w:tc>
        <w:tc>
          <w:tcPr>
            <w:tcW w:w="905" w:type="pct"/>
            <w:hideMark/>
          </w:tcPr>
          <w:p w14:paraId="3795EF66"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0E0DE78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stress</w:t>
            </w:r>
          </w:p>
        </w:tc>
        <w:tc>
          <w:tcPr>
            <w:tcW w:w="1305" w:type="pct"/>
            <w:hideMark/>
          </w:tcPr>
          <w:p w14:paraId="46773CB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Voluntary turnover</w:t>
            </w:r>
          </w:p>
        </w:tc>
      </w:tr>
      <w:tr w:rsidR="003E5B95" w:rsidRPr="00D44A44" w14:paraId="01889878" w14:textId="77777777" w:rsidTr="003E5B95">
        <w:trPr>
          <w:trHeight w:val="132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310CA24"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Armstrong et al. (2018)</w:t>
            </w:r>
          </w:p>
        </w:tc>
        <w:tc>
          <w:tcPr>
            <w:tcW w:w="893" w:type="pct"/>
            <w:tcBorders>
              <w:left w:val="single" w:sz="4" w:space="0" w:color="auto"/>
            </w:tcBorders>
            <w:hideMark/>
          </w:tcPr>
          <w:p w14:paraId="6627AAC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work overload, job autonomy, work-family conflict, and fairness of rewards </w:t>
            </w:r>
          </w:p>
        </w:tc>
        <w:tc>
          <w:tcPr>
            <w:tcW w:w="905" w:type="pct"/>
            <w:hideMark/>
          </w:tcPr>
          <w:p w14:paraId="1AD0980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4F65DDD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 exhaustion </w:t>
            </w:r>
          </w:p>
        </w:tc>
        <w:tc>
          <w:tcPr>
            <w:tcW w:w="1305" w:type="pct"/>
            <w:hideMark/>
          </w:tcPr>
          <w:p w14:paraId="11FBBCD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 from IT career</w:t>
            </w:r>
          </w:p>
        </w:tc>
      </w:tr>
      <w:tr w:rsidR="003E5B95" w:rsidRPr="00D44A44" w14:paraId="2DAFB6A1" w14:textId="77777777" w:rsidTr="003E5B95">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04DD994"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Ayyagari et al. (2011)</w:t>
            </w:r>
          </w:p>
        </w:tc>
        <w:tc>
          <w:tcPr>
            <w:tcW w:w="893" w:type="pct"/>
            <w:tcBorders>
              <w:left w:val="single" w:sz="4" w:space="0" w:color="auto"/>
            </w:tcBorders>
            <w:hideMark/>
          </w:tcPr>
          <w:p w14:paraId="75A1067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home conflict, invasion of privacy, work overload, role ambiguity, job insecurity</w:t>
            </w:r>
          </w:p>
        </w:tc>
        <w:tc>
          <w:tcPr>
            <w:tcW w:w="905" w:type="pct"/>
            <w:hideMark/>
          </w:tcPr>
          <w:p w14:paraId="3D82DB3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The appraisal is in the form of ‘fit’ between an individual and his/her environment</w:t>
            </w:r>
          </w:p>
        </w:tc>
        <w:tc>
          <w:tcPr>
            <w:tcW w:w="1135" w:type="pct"/>
            <w:hideMark/>
          </w:tcPr>
          <w:p w14:paraId="6021169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706D570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Strain</w:t>
            </w:r>
          </w:p>
        </w:tc>
      </w:tr>
      <w:tr w:rsidR="003E5B95" w:rsidRPr="00D44A44" w14:paraId="222E2B94" w14:textId="77777777" w:rsidTr="003E5B95">
        <w:trPr>
          <w:trHeight w:val="19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8FDFC4E"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Beaudry and Pinsonneault (2005)</w:t>
            </w:r>
          </w:p>
        </w:tc>
        <w:tc>
          <w:tcPr>
            <w:tcW w:w="893" w:type="pct"/>
            <w:tcBorders>
              <w:left w:val="single" w:sz="4" w:space="0" w:color="auto"/>
            </w:tcBorders>
            <w:hideMark/>
          </w:tcPr>
          <w:p w14:paraId="52C5108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Awareness of an IT event</w:t>
            </w:r>
          </w:p>
        </w:tc>
        <w:tc>
          <w:tcPr>
            <w:tcW w:w="905" w:type="pct"/>
            <w:hideMark/>
          </w:tcPr>
          <w:p w14:paraId="6D18F7B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Primary appraisal (opportunity vs threat) and secondary appraisal (high control vs low control) of IT events</w:t>
            </w:r>
          </w:p>
        </w:tc>
        <w:tc>
          <w:tcPr>
            <w:tcW w:w="1135" w:type="pct"/>
            <w:hideMark/>
          </w:tcPr>
          <w:p w14:paraId="71E4296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Adaptation efforts in the form of benefits maximizing strategy, benefits satisfying strategy, disturbance handing strategy, and self-</w:t>
            </w:r>
            <w:r w:rsidRPr="00D44A44">
              <w:rPr>
                <w:rFonts w:eastAsia="Times New Roman" w:cs="Times New Roman"/>
                <w:szCs w:val="24"/>
              </w:rPr>
              <w:lastRenderedPageBreak/>
              <w:t>preservation strategy</w:t>
            </w:r>
          </w:p>
        </w:tc>
        <w:tc>
          <w:tcPr>
            <w:tcW w:w="1305" w:type="pct"/>
            <w:hideMark/>
          </w:tcPr>
          <w:p w14:paraId="5915536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Individual efficiency and effectiveness, minimization of the negative consequences of the IT event, restoring personal emotional stability, and exit</w:t>
            </w:r>
          </w:p>
        </w:tc>
      </w:tr>
      <w:tr w:rsidR="003E5B95" w:rsidRPr="00D44A44" w14:paraId="4E6720D5" w14:textId="77777777" w:rsidTr="003E5B95">
        <w:trPr>
          <w:cnfStyle w:val="000000100000" w:firstRow="0" w:lastRow="0" w:firstColumn="0" w:lastColumn="0" w:oddVBand="0" w:evenVBand="0" w:oddHBand="1" w:evenHBand="0" w:firstRowFirstColumn="0" w:firstRowLastColumn="0" w:lastRowFirstColumn="0" w:lastRowLastColumn="0"/>
          <w:trHeight w:val="200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604AA25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Beaudry and Pinsonneault (2010)</w:t>
            </w:r>
          </w:p>
        </w:tc>
        <w:tc>
          <w:tcPr>
            <w:tcW w:w="893" w:type="pct"/>
            <w:tcBorders>
              <w:left w:val="single" w:sz="4" w:space="0" w:color="auto"/>
            </w:tcBorders>
          </w:tcPr>
          <w:p w14:paraId="2A42815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IT use</w:t>
            </w:r>
          </w:p>
        </w:tc>
        <w:tc>
          <w:tcPr>
            <w:tcW w:w="905" w:type="pct"/>
          </w:tcPr>
          <w:p w14:paraId="546937C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As a result of the primary and secondary appraisal, four types of emotion prevail: achievement, challenge, loss, and deterrence</w:t>
            </w:r>
          </w:p>
        </w:tc>
        <w:tc>
          <w:tcPr>
            <w:tcW w:w="1135" w:type="pct"/>
          </w:tcPr>
          <w:p w14:paraId="638EB91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Coping as venting, seeking social support, distancing, task adaptation, and seeking instrumental support</w:t>
            </w:r>
          </w:p>
        </w:tc>
        <w:tc>
          <w:tcPr>
            <w:tcW w:w="1305" w:type="pct"/>
          </w:tcPr>
          <w:p w14:paraId="755EBC3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IT use</w:t>
            </w:r>
          </w:p>
        </w:tc>
      </w:tr>
      <w:tr w:rsidR="003E5B95" w:rsidRPr="00D44A44" w14:paraId="7F0FA092" w14:textId="77777777" w:rsidTr="003E5B95">
        <w:trPr>
          <w:trHeight w:val="114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56374A7"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Bhattacherjee et al. (2018)</w:t>
            </w:r>
          </w:p>
        </w:tc>
        <w:tc>
          <w:tcPr>
            <w:tcW w:w="893" w:type="pct"/>
            <w:tcBorders>
              <w:left w:val="single" w:sz="4" w:space="0" w:color="auto"/>
            </w:tcBorders>
            <w:hideMark/>
          </w:tcPr>
          <w:p w14:paraId="337F0C6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Organization adoption of IT (disruptive event)</w:t>
            </w:r>
          </w:p>
        </w:tc>
        <w:tc>
          <w:tcPr>
            <w:tcW w:w="905" w:type="pct"/>
            <w:hideMark/>
          </w:tcPr>
          <w:p w14:paraId="2C0A935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Mandated IT event is appraised as an opportunity or threat</w:t>
            </w:r>
          </w:p>
        </w:tc>
        <w:tc>
          <w:tcPr>
            <w:tcW w:w="1135" w:type="pct"/>
            <w:hideMark/>
          </w:tcPr>
          <w:p w14:paraId="2CC27F7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3CA0C76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Acceptance response (engaged, compliant), and resistance response (reluctant and deviant)</w:t>
            </w:r>
          </w:p>
        </w:tc>
      </w:tr>
      <w:tr w:rsidR="003E5B95" w:rsidRPr="00D44A44" w14:paraId="3B8EDD6F" w14:textId="77777777" w:rsidTr="003E5B95">
        <w:trPr>
          <w:cnfStyle w:val="000000100000" w:firstRow="0" w:lastRow="0" w:firstColumn="0" w:lastColumn="0" w:oddVBand="0" w:evenVBand="0" w:oddHBand="1" w:evenHBand="0" w:firstRowFirstColumn="0" w:firstRowLastColumn="0" w:lastRowFirstColumn="0" w:lastRowLastColumn="0"/>
          <w:trHeight w:val="70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5900A89"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Budnick et al. (2020)</w:t>
            </w:r>
          </w:p>
        </w:tc>
        <w:tc>
          <w:tcPr>
            <w:tcW w:w="893" w:type="pct"/>
            <w:tcBorders>
              <w:left w:val="single" w:sz="4" w:space="0" w:color="auto"/>
            </w:tcBorders>
            <w:hideMark/>
          </w:tcPr>
          <w:p w14:paraId="51F0E93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Workplace fear of missing out </w:t>
            </w:r>
          </w:p>
        </w:tc>
        <w:tc>
          <w:tcPr>
            <w:tcW w:w="905" w:type="pct"/>
            <w:hideMark/>
          </w:tcPr>
          <w:p w14:paraId="223076D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84CF4D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7B59E64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Motivation process outcomes (message checking behavior, and general work engagement) </w:t>
            </w:r>
          </w:p>
          <w:p w14:paraId="42E3E32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Health process outcomes (Burnout, wellbeing)</w:t>
            </w:r>
          </w:p>
        </w:tc>
      </w:tr>
      <w:tr w:rsidR="003E5B95" w:rsidRPr="00D44A44" w14:paraId="71E748DD" w14:textId="77777777" w:rsidTr="003E5B95">
        <w:trPr>
          <w:trHeight w:val="1404"/>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2D1CBF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Chen and Karahanna (2018)</w:t>
            </w:r>
          </w:p>
        </w:tc>
        <w:tc>
          <w:tcPr>
            <w:tcW w:w="893" w:type="pct"/>
            <w:tcBorders>
              <w:left w:val="single" w:sz="4" w:space="0" w:color="auto"/>
            </w:tcBorders>
            <w:hideMark/>
          </w:tcPr>
          <w:p w14:paraId="758B4228"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After-hours work-related interruptions</w:t>
            </w:r>
          </w:p>
        </w:tc>
        <w:tc>
          <w:tcPr>
            <w:tcW w:w="905" w:type="pct"/>
            <w:hideMark/>
          </w:tcPr>
          <w:p w14:paraId="7A7600F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1C1047D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Interruption overload, psychological transition, and task closure</w:t>
            </w:r>
          </w:p>
          <w:p w14:paraId="37A0046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Psychological outcomes (work exhaustion and non-work exhaustion)</w:t>
            </w:r>
          </w:p>
        </w:tc>
        <w:tc>
          <w:tcPr>
            <w:tcW w:w="1305" w:type="pct"/>
            <w:hideMark/>
          </w:tcPr>
          <w:p w14:paraId="10D5B75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Behavioral outcomes (nonwork performance and work performance)</w:t>
            </w:r>
          </w:p>
        </w:tc>
      </w:tr>
      <w:tr w:rsidR="003E5B95" w:rsidRPr="00D44A44" w14:paraId="323A16CB" w14:textId="77777777" w:rsidTr="003E5B95">
        <w:trPr>
          <w:cnfStyle w:val="000000100000" w:firstRow="0" w:lastRow="0" w:firstColumn="0" w:lastColumn="0" w:oddVBand="0" w:evenVBand="0" w:oddHBand="1" w:evenHBand="0" w:firstRowFirstColumn="0" w:firstRowLastColumn="0" w:lastRowFirstColumn="0" w:lastRowLastColumn="0"/>
          <w:trHeight w:val="242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0E3325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Chilton et al. (2005)</w:t>
            </w:r>
          </w:p>
          <w:p w14:paraId="370EBE05" w14:textId="77777777" w:rsidR="003E5B95" w:rsidRPr="00D44A44" w:rsidRDefault="003E5B95" w:rsidP="003E5B95">
            <w:pPr>
              <w:spacing w:line="240" w:lineRule="auto"/>
              <w:ind w:firstLine="0"/>
              <w:rPr>
                <w:rFonts w:eastAsia="Times New Roman" w:cs="Times New Roman"/>
                <w:b w:val="0"/>
                <w:bCs w:val="0"/>
                <w:szCs w:val="24"/>
              </w:rPr>
            </w:pPr>
          </w:p>
        </w:tc>
        <w:tc>
          <w:tcPr>
            <w:tcW w:w="893" w:type="pct"/>
            <w:tcBorders>
              <w:left w:val="single" w:sz="4" w:space="0" w:color="auto"/>
            </w:tcBorders>
            <w:hideMark/>
          </w:tcPr>
          <w:p w14:paraId="4B9CA92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The source of strain is the misfit between a person's preferred cognitive style (person's abilities) and the preferred cognitive style of the job environment (job demands)</w:t>
            </w:r>
          </w:p>
        </w:tc>
        <w:tc>
          <w:tcPr>
            <w:tcW w:w="905" w:type="pct"/>
            <w:hideMark/>
          </w:tcPr>
          <w:p w14:paraId="5412D14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Rooted in the P-E fit, the appraisal is in terms of matching an individual's abilities with the job demands.</w:t>
            </w:r>
          </w:p>
        </w:tc>
        <w:tc>
          <w:tcPr>
            <w:tcW w:w="1135" w:type="pct"/>
            <w:hideMark/>
          </w:tcPr>
          <w:p w14:paraId="70F377E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Stress/strain</w:t>
            </w:r>
          </w:p>
        </w:tc>
        <w:tc>
          <w:tcPr>
            <w:tcW w:w="1305" w:type="pct"/>
            <w:hideMark/>
          </w:tcPr>
          <w:p w14:paraId="474B63A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Performance (strain and performance are negatively correlated, causality between the two is not suggested)</w:t>
            </w:r>
          </w:p>
        </w:tc>
      </w:tr>
      <w:tr w:rsidR="003E5B95" w:rsidRPr="00D44A44" w14:paraId="19687A38"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7989348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Califf et al. (2020)</w:t>
            </w:r>
          </w:p>
        </w:tc>
        <w:tc>
          <w:tcPr>
            <w:tcW w:w="893" w:type="pct"/>
            <w:tcBorders>
              <w:left w:val="single" w:sz="4" w:space="0" w:color="auto"/>
            </w:tcBorders>
          </w:tcPr>
          <w:p w14:paraId="1FB0DD2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Challenge techno stressors (usefulness, technology support, involvement facilitation)</w:t>
            </w:r>
          </w:p>
          <w:p w14:paraId="5F2137B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Hindrance technostressors (unreliability, complexity, uncertainty, insecurity, overload)</w:t>
            </w:r>
          </w:p>
        </w:tc>
        <w:tc>
          <w:tcPr>
            <w:tcW w:w="905" w:type="pct"/>
          </w:tcPr>
          <w:p w14:paraId="1862A4A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tcPr>
          <w:p w14:paraId="1B5326E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Positive and negative psychological responses tend to affect the level of job satisfaction and attrition</w:t>
            </w:r>
          </w:p>
        </w:tc>
        <w:tc>
          <w:tcPr>
            <w:tcW w:w="1305" w:type="pct"/>
          </w:tcPr>
          <w:p w14:paraId="600776E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Turnover intention</w:t>
            </w:r>
          </w:p>
        </w:tc>
      </w:tr>
      <w:tr w:rsidR="003E5B95" w:rsidRPr="00D44A44" w14:paraId="40D947CB" w14:textId="77777777" w:rsidTr="003E5B95">
        <w:trPr>
          <w:cnfStyle w:val="000000100000" w:firstRow="0" w:lastRow="0" w:firstColumn="0" w:lastColumn="0" w:oddVBand="0" w:evenVBand="0" w:oddHBand="1" w:evenHBand="0" w:firstRowFirstColumn="0" w:firstRowLastColumn="0" w:lastRowFirstColumn="0" w:lastRowLastColumn="0"/>
          <w:trHeight w:val="90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58258012" w14:textId="77777777" w:rsidR="003E5B95" w:rsidRPr="00D44A44" w:rsidRDefault="003E5B95" w:rsidP="003E5B95">
            <w:pPr>
              <w:spacing w:line="240" w:lineRule="auto"/>
              <w:ind w:firstLine="0"/>
              <w:rPr>
                <w:rFonts w:eastAsia="Times New Roman" w:cs="Times New Roman"/>
                <w:b w:val="0"/>
                <w:bCs w:val="0"/>
                <w:i/>
                <w:iCs/>
                <w:szCs w:val="24"/>
              </w:rPr>
            </w:pPr>
            <w:r w:rsidRPr="00D44A44">
              <w:rPr>
                <w:rFonts w:eastAsia="Times New Roman" w:cs="Times New Roman"/>
                <w:b w:val="0"/>
                <w:bCs w:val="0"/>
                <w:i/>
                <w:iCs/>
                <w:noProof/>
                <w:color w:val="000000"/>
                <w:szCs w:val="24"/>
              </w:rPr>
              <w:t>D'Arcy et al. (2014)</w:t>
            </w:r>
          </w:p>
        </w:tc>
        <w:tc>
          <w:tcPr>
            <w:tcW w:w="893" w:type="pct"/>
            <w:tcBorders>
              <w:left w:val="single" w:sz="4" w:space="0" w:color="auto"/>
            </w:tcBorders>
          </w:tcPr>
          <w:p w14:paraId="31AF288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overload</w:t>
            </w:r>
          </w:p>
          <w:p w14:paraId="27B3864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complexity</w:t>
            </w:r>
          </w:p>
          <w:p w14:paraId="2D3368E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SRS uncertainty </w:t>
            </w:r>
          </w:p>
        </w:tc>
        <w:tc>
          <w:tcPr>
            <w:tcW w:w="905" w:type="pct"/>
          </w:tcPr>
          <w:p w14:paraId="284D0DB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SRS is the outcome of primary and secondary appraisal </w:t>
            </w:r>
          </w:p>
        </w:tc>
        <w:tc>
          <w:tcPr>
            <w:tcW w:w="1135" w:type="pct"/>
          </w:tcPr>
          <w:p w14:paraId="2F14C3A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Moral disengagement as an emotional coping response</w:t>
            </w:r>
          </w:p>
        </w:tc>
        <w:tc>
          <w:tcPr>
            <w:tcW w:w="1305" w:type="pct"/>
          </w:tcPr>
          <w:p w14:paraId="4AA1EBA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ISP violation intention</w:t>
            </w:r>
          </w:p>
        </w:tc>
      </w:tr>
      <w:tr w:rsidR="003E5B95" w:rsidRPr="00D44A44" w14:paraId="71503D2C" w14:textId="77777777" w:rsidTr="003E5B95">
        <w:trPr>
          <w:trHeight w:val="80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6AA41B73" w14:textId="77777777" w:rsidR="003E5B95" w:rsidRPr="00D44A44" w:rsidRDefault="003E5B95" w:rsidP="003E5B95">
            <w:pPr>
              <w:spacing w:line="240" w:lineRule="auto"/>
              <w:ind w:firstLine="0"/>
              <w:rPr>
                <w:rFonts w:eastAsia="Times New Roman" w:cs="Times New Roman"/>
                <w:b w:val="0"/>
                <w:bCs w:val="0"/>
                <w:i/>
                <w:iCs/>
                <w:color w:val="000000"/>
                <w:szCs w:val="24"/>
              </w:rPr>
            </w:pPr>
            <w:r w:rsidRPr="00D44A44">
              <w:rPr>
                <w:rFonts w:eastAsia="Times New Roman" w:cs="Times New Roman"/>
                <w:b w:val="0"/>
                <w:bCs w:val="0"/>
                <w:i/>
                <w:iCs/>
                <w:noProof/>
                <w:color w:val="222222"/>
                <w:szCs w:val="24"/>
              </w:rPr>
              <w:t>D'Arcy et al. (2018)</w:t>
            </w:r>
          </w:p>
        </w:tc>
        <w:tc>
          <w:tcPr>
            <w:tcW w:w="893" w:type="pct"/>
            <w:tcBorders>
              <w:left w:val="single" w:sz="4" w:space="0" w:color="auto"/>
            </w:tcBorders>
          </w:tcPr>
          <w:p w14:paraId="34BDE96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 xml:space="preserve">Information security policies </w:t>
            </w:r>
          </w:p>
        </w:tc>
        <w:tc>
          <w:tcPr>
            <w:tcW w:w="905" w:type="pct"/>
          </w:tcPr>
          <w:p w14:paraId="74B04AC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is the outcome of primary and secondary appraisal</w:t>
            </w:r>
          </w:p>
        </w:tc>
        <w:tc>
          <w:tcPr>
            <w:tcW w:w="1135" w:type="pct"/>
          </w:tcPr>
          <w:p w14:paraId="2A322BE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Moral Disengagement as an emotional coping response</w:t>
            </w:r>
          </w:p>
        </w:tc>
        <w:tc>
          <w:tcPr>
            <w:tcW w:w="1305" w:type="pct"/>
          </w:tcPr>
          <w:p w14:paraId="61CC2FB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ISP violation intention</w:t>
            </w:r>
          </w:p>
        </w:tc>
      </w:tr>
      <w:tr w:rsidR="003E5B95" w:rsidRPr="00D44A44" w14:paraId="0CDECE54" w14:textId="77777777" w:rsidTr="003E5B95">
        <w:trPr>
          <w:cnfStyle w:val="000000100000" w:firstRow="0" w:lastRow="0" w:firstColumn="0" w:lastColumn="0" w:oddVBand="0" w:evenVBand="0" w:oddHBand="1" w:evenHBand="0" w:firstRowFirstColumn="0" w:firstRowLastColumn="0" w:lastRowFirstColumn="0" w:lastRowLastColumn="0"/>
          <w:trHeight w:val="53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2E47C72F" w14:textId="77777777" w:rsidR="003E5B95" w:rsidRPr="00D44A44" w:rsidRDefault="003E5B95" w:rsidP="003E5B95">
            <w:pPr>
              <w:spacing w:line="240" w:lineRule="auto"/>
              <w:ind w:firstLine="0"/>
              <w:rPr>
                <w:rFonts w:eastAsia="Times New Roman" w:cs="Times New Roman"/>
                <w:b w:val="0"/>
                <w:bCs w:val="0"/>
                <w:i/>
                <w:iCs/>
                <w:color w:val="000000"/>
                <w:szCs w:val="24"/>
              </w:rPr>
            </w:pPr>
            <w:r w:rsidRPr="00D44A44">
              <w:rPr>
                <w:rFonts w:eastAsia="Times New Roman" w:cs="Times New Roman"/>
                <w:b w:val="0"/>
                <w:bCs w:val="0"/>
                <w:i/>
                <w:iCs/>
                <w:noProof/>
                <w:color w:val="222222"/>
                <w:szCs w:val="24"/>
              </w:rPr>
              <w:t>D’Arcy and Teh (2019)</w:t>
            </w:r>
          </w:p>
        </w:tc>
        <w:tc>
          <w:tcPr>
            <w:tcW w:w="893" w:type="pct"/>
            <w:tcBorders>
              <w:left w:val="single" w:sz="4" w:space="0" w:color="auto"/>
            </w:tcBorders>
          </w:tcPr>
          <w:p w14:paraId="12B115D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Security policies</w:t>
            </w:r>
          </w:p>
        </w:tc>
        <w:tc>
          <w:tcPr>
            <w:tcW w:w="905" w:type="pct"/>
          </w:tcPr>
          <w:p w14:paraId="2E9FA2B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135" w:type="pct"/>
          </w:tcPr>
          <w:p w14:paraId="3D30FBA6"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Neutralization</w:t>
            </w:r>
          </w:p>
        </w:tc>
        <w:tc>
          <w:tcPr>
            <w:tcW w:w="1305" w:type="pct"/>
          </w:tcPr>
          <w:p w14:paraId="1B32F49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ISP compliance</w:t>
            </w:r>
          </w:p>
        </w:tc>
      </w:tr>
      <w:tr w:rsidR="003E5B95" w:rsidRPr="00D44A44" w14:paraId="2A6089F9" w14:textId="77777777" w:rsidTr="003E5B95">
        <w:trPr>
          <w:trHeight w:val="72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A9E3532"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Ortiz de Guinea (2016)</w:t>
            </w:r>
          </w:p>
        </w:tc>
        <w:tc>
          <w:tcPr>
            <w:tcW w:w="893" w:type="pct"/>
            <w:tcBorders>
              <w:left w:val="single" w:sz="4" w:space="0" w:color="auto"/>
            </w:tcBorders>
            <w:hideMark/>
          </w:tcPr>
          <w:p w14:paraId="026BA05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Discrepant IT event </w:t>
            </w:r>
          </w:p>
        </w:tc>
        <w:tc>
          <w:tcPr>
            <w:tcW w:w="905" w:type="pct"/>
            <w:hideMark/>
          </w:tcPr>
          <w:p w14:paraId="75F3405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0FF8F4F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Engagement coping and disengagement coping</w:t>
            </w:r>
          </w:p>
        </w:tc>
        <w:tc>
          <w:tcPr>
            <w:tcW w:w="1305" w:type="pct"/>
            <w:hideMark/>
          </w:tcPr>
          <w:p w14:paraId="5CD9CB7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Accidental learning, discrepant IT event is either resolved or not resolved</w:t>
            </w:r>
          </w:p>
        </w:tc>
      </w:tr>
      <w:tr w:rsidR="003E5B95" w:rsidRPr="00D44A44" w14:paraId="120D713F" w14:textId="77777777" w:rsidTr="003E5B95">
        <w:trPr>
          <w:cnfStyle w:val="000000100000" w:firstRow="0" w:lastRow="0" w:firstColumn="0" w:lastColumn="0" w:oddVBand="0" w:evenVBand="0" w:oddHBand="1" w:evenHBand="0" w:firstRowFirstColumn="0" w:firstRowLastColumn="0" w:lastRowFirstColumn="0" w:lastRowLastColumn="0"/>
          <w:trHeight w:val="161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499F032"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Ortiz de Guinea and Webster (2013)</w:t>
            </w:r>
          </w:p>
        </w:tc>
        <w:tc>
          <w:tcPr>
            <w:tcW w:w="893" w:type="pct"/>
            <w:tcBorders>
              <w:left w:val="single" w:sz="4" w:space="0" w:color="auto"/>
            </w:tcBorders>
            <w:hideMark/>
          </w:tcPr>
          <w:p w14:paraId="30A086B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Expected and discrepant IT events</w:t>
            </w:r>
          </w:p>
        </w:tc>
        <w:tc>
          <w:tcPr>
            <w:tcW w:w="905" w:type="pct"/>
            <w:hideMark/>
          </w:tcPr>
          <w:p w14:paraId="195D823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35A0A8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Emotions (affect and physiological arousal), cognitions (non-computer related thoughts, and computer-related thoughts), and behaviors (exploitive and adaptive)</w:t>
            </w:r>
          </w:p>
        </w:tc>
        <w:tc>
          <w:tcPr>
            <w:tcW w:w="1305" w:type="pct"/>
            <w:hideMark/>
          </w:tcPr>
          <w:p w14:paraId="2052582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Short term performance</w:t>
            </w:r>
          </w:p>
        </w:tc>
      </w:tr>
      <w:tr w:rsidR="003E5B95" w:rsidRPr="00D44A44" w14:paraId="0CC31D25" w14:textId="77777777" w:rsidTr="003E5B95">
        <w:trPr>
          <w:trHeight w:val="1962"/>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8BE2886"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Elie-Dit-Cosaque and Straub (2011)</w:t>
            </w:r>
          </w:p>
        </w:tc>
        <w:tc>
          <w:tcPr>
            <w:tcW w:w="893" w:type="pct"/>
            <w:tcBorders>
              <w:left w:val="single" w:sz="4" w:space="0" w:color="auto"/>
            </w:tcBorders>
            <w:hideMark/>
          </w:tcPr>
          <w:p w14:paraId="22255DB8"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IT event </w:t>
            </w:r>
          </w:p>
        </w:tc>
        <w:tc>
          <w:tcPr>
            <w:tcW w:w="905" w:type="pct"/>
            <w:hideMark/>
          </w:tcPr>
          <w:p w14:paraId="0E8928C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Primary appraisal (opportunity vs threat) and secondary appraisal (high control vs low control) of IT events</w:t>
            </w:r>
          </w:p>
        </w:tc>
        <w:tc>
          <w:tcPr>
            <w:tcW w:w="1135" w:type="pct"/>
            <w:hideMark/>
          </w:tcPr>
          <w:p w14:paraId="3EEEE27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Benefits maximizing strategy, benefits satisfying strategy, disturbance handing strategy, and self-preservation strategy</w:t>
            </w:r>
          </w:p>
        </w:tc>
        <w:tc>
          <w:tcPr>
            <w:tcW w:w="1305" w:type="pct"/>
            <w:hideMark/>
          </w:tcPr>
          <w:p w14:paraId="6D73C11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3015115B" w14:textId="77777777" w:rsidTr="003E5B95">
        <w:trPr>
          <w:cnfStyle w:val="000000100000" w:firstRow="0" w:lastRow="0" w:firstColumn="0" w:lastColumn="0" w:oddVBand="0" w:evenVBand="0" w:oddHBand="1" w:evenHBand="0" w:firstRowFirstColumn="0" w:firstRowLastColumn="0" w:lastRowFirstColumn="0" w:lastRowLastColumn="0"/>
          <w:trHeight w:val="135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3441D81A"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Fadel (2012)</w:t>
            </w:r>
          </w:p>
        </w:tc>
        <w:tc>
          <w:tcPr>
            <w:tcW w:w="893" w:type="pct"/>
            <w:tcBorders>
              <w:left w:val="single" w:sz="4" w:space="0" w:color="auto"/>
            </w:tcBorders>
            <w:hideMark/>
          </w:tcPr>
          <w:p w14:paraId="5D0C381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905" w:type="pct"/>
            <w:hideMark/>
          </w:tcPr>
          <w:p w14:paraId="38D15BC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52BA66F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Adapted from CMUA as problem-focused adaptation, approach-oriented emotion-focused adaptation, and avoidance-oriented emotion-focused adaptation</w:t>
            </w:r>
          </w:p>
        </w:tc>
        <w:tc>
          <w:tcPr>
            <w:tcW w:w="1305" w:type="pct"/>
            <w:hideMark/>
          </w:tcPr>
          <w:p w14:paraId="540DCA4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Infusion (defined as the degree to which an information system is used deeply, or to its fullest extent, for improving organizational and individual performance).</w:t>
            </w:r>
          </w:p>
        </w:tc>
      </w:tr>
      <w:tr w:rsidR="003E5B95" w:rsidRPr="00D44A44" w14:paraId="50AD15D8" w14:textId="77777777" w:rsidTr="003E5B95">
        <w:trPr>
          <w:trHeight w:val="191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33479F8F"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Fuglseth and Sørebø (2014)</w:t>
            </w:r>
          </w:p>
        </w:tc>
        <w:tc>
          <w:tcPr>
            <w:tcW w:w="893" w:type="pct"/>
            <w:tcBorders>
              <w:left w:val="single" w:sz="4" w:space="0" w:color="auto"/>
            </w:tcBorders>
            <w:hideMark/>
          </w:tcPr>
          <w:p w14:paraId="5DC1001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creators-techno-overload, techno-invasion, techno-insecurity, techno-complexity, and techno-uncertainty</w:t>
            </w:r>
          </w:p>
        </w:tc>
        <w:tc>
          <w:tcPr>
            <w:tcW w:w="905" w:type="pct"/>
            <w:hideMark/>
          </w:tcPr>
          <w:p w14:paraId="502CAB8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5CBE011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Employee satisfaction with ICT use (strain)</w:t>
            </w:r>
          </w:p>
        </w:tc>
        <w:tc>
          <w:tcPr>
            <w:tcW w:w="1305" w:type="pct"/>
            <w:hideMark/>
          </w:tcPr>
          <w:p w14:paraId="003D748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Employee's intention to extend the use of ICT</w:t>
            </w:r>
          </w:p>
        </w:tc>
      </w:tr>
      <w:tr w:rsidR="003E5B95" w:rsidRPr="00D44A44" w14:paraId="5D3A8E6B" w14:textId="77777777" w:rsidTr="003E5B95">
        <w:trPr>
          <w:cnfStyle w:val="000000100000" w:firstRow="0" w:lastRow="0" w:firstColumn="0" w:lastColumn="0" w:oddVBand="0" w:evenVBand="0" w:oddHBand="1" w:evenHBand="0" w:firstRowFirstColumn="0" w:firstRowLastColumn="0" w:lastRowFirstColumn="0" w:lastRowLastColumn="0"/>
          <w:trHeight w:val="135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B2BEA6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Galluch et al. (2015)</w:t>
            </w:r>
          </w:p>
        </w:tc>
        <w:tc>
          <w:tcPr>
            <w:tcW w:w="893" w:type="pct"/>
            <w:tcBorders>
              <w:left w:val="single" w:sz="4" w:space="0" w:color="auto"/>
            </w:tcBorders>
            <w:hideMark/>
          </w:tcPr>
          <w:p w14:paraId="7ECBEE4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 ICT-enabled demand stressors </w:t>
            </w:r>
          </w:p>
        </w:tc>
        <w:tc>
          <w:tcPr>
            <w:tcW w:w="905" w:type="pct"/>
            <w:hideMark/>
          </w:tcPr>
          <w:p w14:paraId="7080B52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stress, a feeling of overload, and conflict towards the environmental demand is a key outcome in primary appraisal. In secondary appraisal, an individual determines his/her ability to cope with the demands. </w:t>
            </w:r>
          </w:p>
        </w:tc>
        <w:tc>
          <w:tcPr>
            <w:tcW w:w="1135" w:type="pct"/>
            <w:hideMark/>
          </w:tcPr>
          <w:p w14:paraId="14B20B76"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Coping behaviors are the forms of control (resource control and method control).</w:t>
            </w:r>
          </w:p>
        </w:tc>
        <w:tc>
          <w:tcPr>
            <w:tcW w:w="1305" w:type="pct"/>
            <w:hideMark/>
          </w:tcPr>
          <w:p w14:paraId="0D6E583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Strain</w:t>
            </w:r>
          </w:p>
        </w:tc>
      </w:tr>
      <w:tr w:rsidR="003E5B95" w:rsidRPr="00D44A44" w14:paraId="028FE903" w14:textId="77777777" w:rsidTr="003E5B95">
        <w:trPr>
          <w:trHeight w:val="19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A767C4F"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Gaudioso et al. (2017)</w:t>
            </w:r>
          </w:p>
        </w:tc>
        <w:tc>
          <w:tcPr>
            <w:tcW w:w="893" w:type="pct"/>
            <w:tcBorders>
              <w:left w:val="single" w:sz="4" w:space="0" w:color="auto"/>
            </w:tcBorders>
            <w:hideMark/>
          </w:tcPr>
          <w:p w14:paraId="1E8BA99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Techno-invasion, techno-overload</w:t>
            </w:r>
          </w:p>
        </w:tc>
        <w:tc>
          <w:tcPr>
            <w:tcW w:w="905" w:type="pct"/>
            <w:hideMark/>
          </w:tcPr>
          <w:p w14:paraId="6EF58C8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Primary appraisal (threat), and secondary appraisal (one's ability to control the stressful situation). </w:t>
            </w:r>
          </w:p>
        </w:tc>
        <w:tc>
          <w:tcPr>
            <w:tcW w:w="1135" w:type="pct"/>
            <w:hideMark/>
          </w:tcPr>
          <w:p w14:paraId="5D1CD0E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Work-family conflict, and distress [Note- in this paperwork-family conflict is treated as a strain, however in prior IS research it has been treated as a stressor]. </w:t>
            </w:r>
          </w:p>
        </w:tc>
        <w:tc>
          <w:tcPr>
            <w:tcW w:w="1305" w:type="pct"/>
            <w:hideMark/>
          </w:tcPr>
          <w:p w14:paraId="358676F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 (this paper classifies work exhaustion as an outcome resulting from coping, however, work exhaustion has also been classified as a stress response in another research</w:t>
            </w:r>
          </w:p>
        </w:tc>
      </w:tr>
      <w:tr w:rsidR="003E5B95" w:rsidRPr="00D44A44" w14:paraId="332CA8EA" w14:textId="77777777" w:rsidTr="003E5B95">
        <w:trPr>
          <w:cnfStyle w:val="000000100000" w:firstRow="0" w:lastRow="0" w:firstColumn="0" w:lastColumn="0" w:oddVBand="0" w:evenVBand="0" w:oddHBand="1" w:evenHBand="0" w:firstRowFirstColumn="0" w:firstRowLastColumn="0" w:lastRowFirstColumn="0" w:lastRowLastColumn="0"/>
          <w:trHeight w:val="164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5EAB96E"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George (1996)</w:t>
            </w:r>
          </w:p>
        </w:tc>
        <w:tc>
          <w:tcPr>
            <w:tcW w:w="893" w:type="pct"/>
            <w:tcBorders>
              <w:left w:val="single" w:sz="4" w:space="0" w:color="auto"/>
            </w:tcBorders>
            <w:hideMark/>
          </w:tcPr>
          <w:p w14:paraId="78D8AAA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Computer monitoring</w:t>
            </w:r>
          </w:p>
        </w:tc>
        <w:tc>
          <w:tcPr>
            <w:tcW w:w="905" w:type="pct"/>
            <w:hideMark/>
          </w:tcPr>
          <w:p w14:paraId="2B176C3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C9E24C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Satisfaction with how work is measured by the computer, satisfaction with phone monitoring, satisfaction with the computer-generated statistics of job performance, and overall job satisfaction</w:t>
            </w:r>
          </w:p>
        </w:tc>
        <w:tc>
          <w:tcPr>
            <w:tcW w:w="1305" w:type="pct"/>
            <w:hideMark/>
          </w:tcPr>
          <w:p w14:paraId="19F6FBF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Work-related health problems measured by asking participants if they have visited the doctors for headaches, blurred vision, back problems, hand problems </w:t>
            </w:r>
          </w:p>
        </w:tc>
      </w:tr>
      <w:tr w:rsidR="003E5B95" w:rsidRPr="00D44A44" w14:paraId="337B9514" w14:textId="77777777" w:rsidTr="003E5B95">
        <w:trPr>
          <w:trHeight w:val="738"/>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358FAB7"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Hennington et al. (2011)</w:t>
            </w:r>
          </w:p>
        </w:tc>
        <w:tc>
          <w:tcPr>
            <w:tcW w:w="893" w:type="pct"/>
            <w:tcBorders>
              <w:left w:val="single" w:sz="4" w:space="0" w:color="auto"/>
            </w:tcBorders>
            <w:hideMark/>
          </w:tcPr>
          <w:p w14:paraId="179712E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role conflict </w:t>
            </w:r>
            <w:r w:rsidRPr="00D44A44">
              <w:rPr>
                <w:rFonts w:eastAsia="Times New Roman" w:cs="Times New Roman"/>
                <w:szCs w:val="24"/>
              </w:rPr>
              <w:lastRenderedPageBreak/>
              <w:t>(person-role conflict)</w:t>
            </w:r>
          </w:p>
        </w:tc>
        <w:tc>
          <w:tcPr>
            <w:tcW w:w="905" w:type="pct"/>
            <w:hideMark/>
          </w:tcPr>
          <w:p w14:paraId="19BDDCC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NA</w:t>
            </w:r>
          </w:p>
        </w:tc>
        <w:tc>
          <w:tcPr>
            <w:tcW w:w="1135" w:type="pct"/>
            <w:hideMark/>
          </w:tcPr>
          <w:p w14:paraId="23CB672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Burnout (emotional </w:t>
            </w:r>
            <w:r w:rsidRPr="00D44A44">
              <w:rPr>
                <w:rFonts w:eastAsia="Times New Roman" w:cs="Times New Roman"/>
                <w:szCs w:val="24"/>
              </w:rPr>
              <w:lastRenderedPageBreak/>
              <w:t>exhaustion, cynicism, and inefficacy)</w:t>
            </w:r>
          </w:p>
        </w:tc>
        <w:tc>
          <w:tcPr>
            <w:tcW w:w="1305" w:type="pct"/>
            <w:hideMark/>
          </w:tcPr>
          <w:p w14:paraId="4D40369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NA</w:t>
            </w:r>
          </w:p>
        </w:tc>
      </w:tr>
      <w:tr w:rsidR="003E5B95" w:rsidRPr="00D44A44" w14:paraId="244D6E5C" w14:textId="77777777" w:rsidTr="003E5B95">
        <w:trPr>
          <w:cnfStyle w:val="000000100000" w:firstRow="0" w:lastRow="0" w:firstColumn="0" w:lastColumn="0" w:oddVBand="0" w:evenVBand="0" w:oddHBand="1" w:evenHBand="0" w:firstRowFirstColumn="0" w:firstRowLastColumn="0" w:lastRowFirstColumn="0" w:lastRowLastColumn="0"/>
          <w:trHeight w:val="218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2712DFA8" w14:textId="77777777" w:rsidR="003E5B95" w:rsidRPr="00D44A44" w:rsidRDefault="003E5B95" w:rsidP="003E5B95">
            <w:pPr>
              <w:spacing w:line="240" w:lineRule="auto"/>
              <w:ind w:firstLine="0"/>
              <w:rPr>
                <w:rFonts w:eastAsia="Times New Roman" w:cs="Times New Roman"/>
                <w:b w:val="0"/>
                <w:bCs w:val="0"/>
                <w:i/>
                <w:iCs/>
                <w:color w:val="222222"/>
                <w:szCs w:val="24"/>
              </w:rPr>
            </w:pPr>
            <w:r w:rsidRPr="00D44A44">
              <w:rPr>
                <w:rFonts w:eastAsia="Times New Roman" w:cs="Times New Roman"/>
                <w:b w:val="0"/>
                <w:bCs w:val="0"/>
                <w:i/>
                <w:iCs/>
                <w:noProof/>
                <w:color w:val="222222"/>
                <w:szCs w:val="24"/>
              </w:rPr>
              <w:t>Helkala et al. (2016)</w:t>
            </w:r>
          </w:p>
          <w:p w14:paraId="1A1AFD23" w14:textId="77777777" w:rsidR="003E5B95" w:rsidRPr="00D44A44" w:rsidRDefault="003E5B95" w:rsidP="003E5B95">
            <w:pPr>
              <w:spacing w:line="240" w:lineRule="auto"/>
              <w:ind w:firstLine="0"/>
              <w:rPr>
                <w:rFonts w:eastAsia="Times New Roman" w:cs="Times New Roman"/>
                <w:b w:val="0"/>
                <w:bCs w:val="0"/>
                <w:i/>
                <w:iCs/>
                <w:szCs w:val="24"/>
              </w:rPr>
            </w:pPr>
          </w:p>
        </w:tc>
        <w:tc>
          <w:tcPr>
            <w:tcW w:w="893" w:type="pct"/>
            <w:tcBorders>
              <w:left w:val="single" w:sz="4" w:space="0" w:color="auto"/>
            </w:tcBorders>
          </w:tcPr>
          <w:p w14:paraId="186DD7A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Physical and mental exertion due to physical training and academic activities in cyber defense officers</w:t>
            </w:r>
          </w:p>
        </w:tc>
        <w:tc>
          <w:tcPr>
            <w:tcW w:w="905" w:type="pct"/>
          </w:tcPr>
          <w:p w14:paraId="48F79E8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c>
          <w:tcPr>
            <w:tcW w:w="1135" w:type="pct"/>
          </w:tcPr>
          <w:p w14:paraId="5E8A627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A task and solution-oriented approach of coping such as situational understanding, accept the situation, use of knowledge and tools, ability to be proactive, finding alternatives and solutions, ability to prioritize, ability to control, ability to influence, self-confidence, and belief in oneself and ability to handle uncertainty. </w:t>
            </w:r>
          </w:p>
        </w:tc>
        <w:tc>
          <w:tcPr>
            <w:tcW w:w="1305" w:type="pct"/>
          </w:tcPr>
          <w:p w14:paraId="7DF11206"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Individual performance on cyber tasks</w:t>
            </w:r>
          </w:p>
        </w:tc>
      </w:tr>
      <w:tr w:rsidR="003E5B95" w:rsidRPr="00D44A44" w14:paraId="325166AC" w14:textId="77777777" w:rsidTr="003E5B95">
        <w:trPr>
          <w:trHeight w:val="90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498F94C4" w14:textId="77777777" w:rsidR="003E5B95" w:rsidRPr="00D44A44" w:rsidRDefault="003E5B95" w:rsidP="003E5B95">
            <w:pPr>
              <w:spacing w:line="240" w:lineRule="auto"/>
              <w:ind w:firstLine="0"/>
              <w:rPr>
                <w:rFonts w:eastAsia="Times New Roman" w:cs="Times New Roman"/>
                <w:b w:val="0"/>
                <w:bCs w:val="0"/>
                <w:i/>
                <w:iCs/>
                <w:color w:val="222222"/>
                <w:szCs w:val="24"/>
              </w:rPr>
            </w:pPr>
            <w:r w:rsidRPr="00D44A44">
              <w:rPr>
                <w:rFonts w:eastAsia="Times New Roman" w:cs="Times New Roman"/>
                <w:b w:val="0"/>
                <w:bCs w:val="0"/>
                <w:i/>
                <w:iCs/>
                <w:noProof/>
                <w:color w:val="222222"/>
                <w:szCs w:val="24"/>
              </w:rPr>
              <w:t>Hwang and Cha (2018)</w:t>
            </w:r>
          </w:p>
        </w:tc>
        <w:tc>
          <w:tcPr>
            <w:tcW w:w="893" w:type="pct"/>
            <w:tcBorders>
              <w:left w:val="single" w:sz="4" w:space="0" w:color="auto"/>
            </w:tcBorders>
          </w:tcPr>
          <w:p w14:paraId="244AF8C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Organization's security technologies and policies</w:t>
            </w:r>
          </w:p>
          <w:p w14:paraId="6B36880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p>
        </w:tc>
        <w:tc>
          <w:tcPr>
            <w:tcW w:w="905" w:type="pct"/>
          </w:tcPr>
          <w:p w14:paraId="260DC5B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135" w:type="pct"/>
          </w:tcPr>
          <w:p w14:paraId="7967E94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305" w:type="pct"/>
          </w:tcPr>
          <w:p w14:paraId="226C5DA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 xml:space="preserve">Compliance intention (as employee's intention to secure an organization's information resources) </w:t>
            </w:r>
          </w:p>
        </w:tc>
      </w:tr>
      <w:tr w:rsidR="003E5B95" w:rsidRPr="00D44A44" w14:paraId="3F0EFC5E" w14:textId="77777777" w:rsidTr="003E5B95">
        <w:trPr>
          <w:cnfStyle w:val="000000100000" w:firstRow="0" w:lastRow="0" w:firstColumn="0" w:lastColumn="0" w:oddVBand="0" w:evenVBand="0" w:oddHBand="1" w:evenHBand="0" w:firstRowFirstColumn="0" w:firstRowLastColumn="0" w:lastRowFirstColumn="0" w:lastRowLastColumn="0"/>
          <w:trHeight w:val="91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7DCA541"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Igbaria and Guimaraes (1993)</w:t>
            </w:r>
          </w:p>
        </w:tc>
        <w:tc>
          <w:tcPr>
            <w:tcW w:w="893" w:type="pct"/>
            <w:tcBorders>
              <w:left w:val="single" w:sz="4" w:space="0" w:color="auto"/>
            </w:tcBorders>
            <w:hideMark/>
          </w:tcPr>
          <w:p w14:paraId="66BCA77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Role stressor: role ambiguity and role conflict</w:t>
            </w:r>
          </w:p>
        </w:tc>
        <w:tc>
          <w:tcPr>
            <w:tcW w:w="905" w:type="pct"/>
            <w:hideMark/>
          </w:tcPr>
          <w:p w14:paraId="6E71A65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1907728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Job satisfaction measured in the five facets of the job as the work itself, supervision, coworker, pay, and promotion </w:t>
            </w:r>
          </w:p>
        </w:tc>
        <w:tc>
          <w:tcPr>
            <w:tcW w:w="1305" w:type="pct"/>
            <w:hideMark/>
          </w:tcPr>
          <w:p w14:paraId="4DC2A3B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Organizational commitment and behavioral intention to leave</w:t>
            </w:r>
          </w:p>
        </w:tc>
      </w:tr>
      <w:tr w:rsidR="003E5B95" w:rsidRPr="00D44A44" w14:paraId="6F431B6E" w14:textId="77777777" w:rsidTr="003E5B95">
        <w:trPr>
          <w:trHeight w:val="79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3CF48308"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Igbaria et al. (1994)</w:t>
            </w:r>
          </w:p>
        </w:tc>
        <w:tc>
          <w:tcPr>
            <w:tcW w:w="893" w:type="pct"/>
            <w:tcBorders>
              <w:left w:val="single" w:sz="4" w:space="0" w:color="auto"/>
            </w:tcBorders>
          </w:tcPr>
          <w:p w14:paraId="0B539E6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Role stressors (role conflict </w:t>
            </w:r>
            <w:r w:rsidRPr="00D44A44">
              <w:rPr>
                <w:rFonts w:eastAsia="Times New Roman" w:cs="Times New Roman"/>
                <w:szCs w:val="24"/>
              </w:rPr>
              <w:lastRenderedPageBreak/>
              <w:t>and role ambiguity)</w:t>
            </w:r>
          </w:p>
        </w:tc>
        <w:tc>
          <w:tcPr>
            <w:tcW w:w="905" w:type="pct"/>
          </w:tcPr>
          <w:p w14:paraId="21F1913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NA</w:t>
            </w:r>
          </w:p>
        </w:tc>
        <w:tc>
          <w:tcPr>
            <w:tcW w:w="1135" w:type="pct"/>
          </w:tcPr>
          <w:p w14:paraId="4B5DC29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Career expectations in the form of career </w:t>
            </w:r>
            <w:r w:rsidRPr="00D44A44">
              <w:rPr>
                <w:rFonts w:eastAsia="Times New Roman" w:cs="Times New Roman"/>
                <w:szCs w:val="24"/>
              </w:rPr>
              <w:lastRenderedPageBreak/>
              <w:t xml:space="preserve">advancement and career development </w:t>
            </w:r>
          </w:p>
        </w:tc>
        <w:tc>
          <w:tcPr>
            <w:tcW w:w="1305" w:type="pct"/>
          </w:tcPr>
          <w:p w14:paraId="66FF67E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 xml:space="preserve">Quality of work-life </w:t>
            </w:r>
          </w:p>
        </w:tc>
      </w:tr>
      <w:tr w:rsidR="003E5B95" w:rsidRPr="00D44A44" w14:paraId="53773950" w14:textId="77777777" w:rsidTr="003E5B95">
        <w:trPr>
          <w:cnfStyle w:val="000000100000" w:firstRow="0" w:lastRow="0" w:firstColumn="0" w:lastColumn="0" w:oddVBand="0" w:evenVBand="0" w:oddHBand="1" w:evenHBand="0" w:firstRowFirstColumn="0" w:firstRowLastColumn="0" w:lastRowFirstColumn="0" w:lastRowLastColumn="0"/>
          <w:trHeight w:val="2808"/>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C804278"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Ishii and Markman (2016)</w:t>
            </w:r>
          </w:p>
        </w:tc>
        <w:tc>
          <w:tcPr>
            <w:tcW w:w="893" w:type="pct"/>
            <w:tcBorders>
              <w:left w:val="single" w:sz="4" w:space="0" w:color="auto"/>
            </w:tcBorders>
            <w:hideMark/>
          </w:tcPr>
          <w:p w14:paraId="5F82EB0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The degree of emotional labor in the form of emotional presence, and its relationship with worker's acting strategies (such as surface acting, and deep acting) in an online customer service environment </w:t>
            </w:r>
          </w:p>
        </w:tc>
        <w:tc>
          <w:tcPr>
            <w:tcW w:w="905" w:type="pct"/>
            <w:hideMark/>
          </w:tcPr>
          <w:p w14:paraId="3C7E777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5ABA75A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burnout (as depersonalization, emotional exhaustion, and reduced personal accomplishment), and job satisfaction</w:t>
            </w:r>
          </w:p>
        </w:tc>
        <w:tc>
          <w:tcPr>
            <w:tcW w:w="1305" w:type="pct"/>
            <w:hideMark/>
          </w:tcPr>
          <w:p w14:paraId="3E40B54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34C47B1A" w14:textId="77777777" w:rsidTr="003E5B95">
        <w:trPr>
          <w:trHeight w:val="1332"/>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FDE87B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Jena (2015)</w:t>
            </w:r>
          </w:p>
        </w:tc>
        <w:tc>
          <w:tcPr>
            <w:tcW w:w="893" w:type="pct"/>
            <w:tcBorders>
              <w:left w:val="single" w:sz="4" w:space="0" w:color="auto"/>
            </w:tcBorders>
            <w:hideMark/>
          </w:tcPr>
          <w:p w14:paraId="3708F5D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Technostress creators (only representative items from </w:t>
            </w:r>
            <w:r w:rsidRPr="00D44A44">
              <w:rPr>
                <w:rFonts w:eastAsia="Times New Roman" w:cs="Times New Roman"/>
                <w:noProof/>
                <w:szCs w:val="24"/>
              </w:rPr>
              <w:t>(Ragu-Nathan et al., 2008)</w:t>
            </w:r>
          </w:p>
        </w:tc>
        <w:tc>
          <w:tcPr>
            <w:tcW w:w="905" w:type="pct"/>
            <w:hideMark/>
          </w:tcPr>
          <w:p w14:paraId="6DCBC65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D85E3C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Organizational commitment, job satisfaction, negative affectivity, and technology enabled performance</w:t>
            </w:r>
            <w:r w:rsidRPr="00D44A44">
              <w:rPr>
                <w:rStyle w:val="FootnoteReference"/>
                <w:rFonts w:eastAsia="Times New Roman"/>
                <w:szCs w:val="24"/>
              </w:rPr>
              <w:footnoteReference w:id="4"/>
            </w:r>
          </w:p>
        </w:tc>
        <w:tc>
          <w:tcPr>
            <w:tcW w:w="1305" w:type="pct"/>
            <w:hideMark/>
          </w:tcPr>
          <w:p w14:paraId="547F5A9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366EF6F9" w14:textId="77777777" w:rsidTr="003E5B95">
        <w:trPr>
          <w:cnfStyle w:val="000000100000" w:firstRow="0" w:lastRow="0" w:firstColumn="0" w:lastColumn="0" w:oddVBand="0" w:evenVBand="0" w:oddHBand="1" w:evenHBand="0" w:firstRowFirstColumn="0" w:firstRowLastColumn="0" w:lastRowFirstColumn="0" w:lastRowLastColumn="0"/>
          <w:trHeight w:val="58"/>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0B35927"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King and Sethi (1997)</w:t>
            </w:r>
          </w:p>
        </w:tc>
        <w:tc>
          <w:tcPr>
            <w:tcW w:w="893" w:type="pct"/>
            <w:tcBorders>
              <w:left w:val="single" w:sz="4" w:space="0" w:color="auto"/>
            </w:tcBorders>
            <w:hideMark/>
          </w:tcPr>
          <w:p w14:paraId="2B701CA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Role ambiguity, and role conflict</w:t>
            </w:r>
          </w:p>
        </w:tc>
        <w:tc>
          <w:tcPr>
            <w:tcW w:w="905" w:type="pct"/>
            <w:hideMark/>
          </w:tcPr>
          <w:p w14:paraId="0708640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67F211D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stress</w:t>
            </w:r>
          </w:p>
        </w:tc>
        <w:tc>
          <w:tcPr>
            <w:tcW w:w="1305" w:type="pct"/>
            <w:hideMark/>
          </w:tcPr>
          <w:p w14:paraId="4CA3793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Burnout</w:t>
            </w:r>
          </w:p>
        </w:tc>
      </w:tr>
      <w:tr w:rsidR="003E5B95" w:rsidRPr="00D44A44" w14:paraId="5C648B81" w14:textId="77777777" w:rsidTr="003E5B95">
        <w:trPr>
          <w:trHeight w:val="94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A0571D1"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Krishnan (2017)</w:t>
            </w:r>
          </w:p>
        </w:tc>
        <w:tc>
          <w:tcPr>
            <w:tcW w:w="893" w:type="pct"/>
            <w:tcBorders>
              <w:left w:val="single" w:sz="4" w:space="0" w:color="auto"/>
            </w:tcBorders>
            <w:hideMark/>
          </w:tcPr>
          <w:p w14:paraId="1DEC441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 (all five dimensions are tested)</w:t>
            </w:r>
          </w:p>
        </w:tc>
        <w:tc>
          <w:tcPr>
            <w:tcW w:w="905" w:type="pct"/>
            <w:hideMark/>
          </w:tcPr>
          <w:p w14:paraId="0BFC955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73FA484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63B2C60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4726DF75" w14:textId="77777777" w:rsidTr="003E5B95">
        <w:trPr>
          <w:cnfStyle w:val="000000100000" w:firstRow="0" w:lastRow="0" w:firstColumn="0" w:lastColumn="0" w:oddVBand="0" w:evenVBand="0" w:oddHBand="1" w:evenHBand="0" w:firstRowFirstColumn="0" w:firstRowLastColumn="0" w:lastRowFirstColumn="0" w:lastRowLastColumn="0"/>
          <w:trHeight w:val="119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848C934"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LeRouge et al. (2006)</w:t>
            </w:r>
          </w:p>
        </w:tc>
        <w:tc>
          <w:tcPr>
            <w:tcW w:w="893" w:type="pct"/>
            <w:tcBorders>
              <w:left w:val="single" w:sz="4" w:space="0" w:color="auto"/>
            </w:tcBorders>
            <w:hideMark/>
          </w:tcPr>
          <w:p w14:paraId="3B5B949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Preference for role stress and perceived role stress (role stress fit)</w:t>
            </w:r>
          </w:p>
        </w:tc>
        <w:tc>
          <w:tcPr>
            <w:tcW w:w="905" w:type="pct"/>
          </w:tcPr>
          <w:p w14:paraId="4360A11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Cognitive appraisal in terms of role stress fit </w:t>
            </w:r>
          </w:p>
        </w:tc>
        <w:tc>
          <w:tcPr>
            <w:tcW w:w="1135" w:type="pct"/>
          </w:tcPr>
          <w:p w14:paraId="6D103A8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satisfaction and organizational commitment (studied a stress response)</w:t>
            </w:r>
          </w:p>
        </w:tc>
        <w:tc>
          <w:tcPr>
            <w:tcW w:w="1305" w:type="pct"/>
          </w:tcPr>
          <w:p w14:paraId="22A24B1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3A90EA2E" w14:textId="77777777" w:rsidTr="003E5B95">
        <w:trPr>
          <w:trHeight w:val="44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39577740" w14:textId="77777777" w:rsidR="003E5B95" w:rsidRPr="00D44A44" w:rsidRDefault="003E5B95" w:rsidP="003E5B95">
            <w:pPr>
              <w:spacing w:line="240" w:lineRule="auto"/>
              <w:ind w:firstLine="0"/>
              <w:rPr>
                <w:rFonts w:eastAsia="Times New Roman" w:cs="Times New Roman"/>
                <w:b w:val="0"/>
                <w:bCs w:val="0"/>
                <w:i/>
                <w:iCs/>
                <w:color w:val="222222"/>
                <w:szCs w:val="24"/>
              </w:rPr>
            </w:pPr>
            <w:r w:rsidRPr="00D44A44">
              <w:rPr>
                <w:rFonts w:eastAsia="Times New Roman" w:cs="Times New Roman"/>
                <w:b w:val="0"/>
                <w:bCs w:val="0"/>
                <w:i/>
                <w:iCs/>
                <w:noProof/>
                <w:color w:val="222222"/>
                <w:szCs w:val="24"/>
              </w:rPr>
              <w:t>Lee et al. (2016)</w:t>
            </w:r>
          </w:p>
          <w:p w14:paraId="6B86B3BB" w14:textId="77777777" w:rsidR="003E5B95" w:rsidRPr="00D44A44" w:rsidRDefault="003E5B95" w:rsidP="003E5B95">
            <w:pPr>
              <w:spacing w:line="240" w:lineRule="auto"/>
              <w:ind w:firstLine="0"/>
              <w:rPr>
                <w:rFonts w:eastAsia="Times New Roman" w:cs="Times New Roman"/>
                <w:b w:val="0"/>
                <w:bCs w:val="0"/>
                <w:i/>
                <w:iCs/>
                <w:szCs w:val="24"/>
              </w:rPr>
            </w:pPr>
          </w:p>
        </w:tc>
        <w:tc>
          <w:tcPr>
            <w:tcW w:w="893" w:type="pct"/>
            <w:tcBorders>
              <w:left w:val="single" w:sz="4" w:space="0" w:color="auto"/>
            </w:tcBorders>
          </w:tcPr>
          <w:p w14:paraId="29A9F2D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Work overload</w:t>
            </w:r>
          </w:p>
          <w:p w14:paraId="77D5D6C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Invasion of privacy </w:t>
            </w:r>
          </w:p>
        </w:tc>
        <w:tc>
          <w:tcPr>
            <w:tcW w:w="905" w:type="pct"/>
          </w:tcPr>
          <w:p w14:paraId="619D84B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c>
          <w:tcPr>
            <w:tcW w:w="1135" w:type="pct"/>
          </w:tcPr>
          <w:p w14:paraId="72F9DE4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None</w:t>
            </w:r>
          </w:p>
        </w:tc>
        <w:tc>
          <w:tcPr>
            <w:tcW w:w="1305" w:type="pct"/>
          </w:tcPr>
          <w:p w14:paraId="76D0927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Information Security Stress (ISS)</w:t>
            </w:r>
          </w:p>
        </w:tc>
      </w:tr>
      <w:tr w:rsidR="003E5B95" w:rsidRPr="00D44A44" w14:paraId="2151DCC1" w14:textId="77777777" w:rsidTr="003E5B95">
        <w:trPr>
          <w:cnfStyle w:val="000000100000" w:firstRow="0" w:lastRow="0" w:firstColumn="0" w:lastColumn="0" w:oddVBand="0" w:evenVBand="0" w:oddHBand="1" w:evenHBand="0" w:firstRowFirstColumn="0" w:firstRowLastColumn="0" w:lastRowFirstColumn="0" w:lastRowLastColumn="0"/>
          <w:trHeight w:val="200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474AAA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Li and Shani (1991)</w:t>
            </w:r>
          </w:p>
        </w:tc>
        <w:tc>
          <w:tcPr>
            <w:tcW w:w="893" w:type="pct"/>
            <w:tcBorders>
              <w:left w:val="single" w:sz="4" w:space="0" w:color="auto"/>
            </w:tcBorders>
            <w:hideMark/>
          </w:tcPr>
          <w:p w14:paraId="6AC458A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overload, role ambiguity, role conflict, job induced anxiety (These variables are used as indicators of IS work stress in this study).</w:t>
            </w:r>
          </w:p>
        </w:tc>
        <w:tc>
          <w:tcPr>
            <w:tcW w:w="905" w:type="pct"/>
            <w:hideMark/>
          </w:tcPr>
          <w:p w14:paraId="098A0C8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100EAB3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IS work stress [This study positions job satisfaction as an antecedent for the IS work stress. In other words, IS manager's work stress is negatively affected by their job satisfaction]</w:t>
            </w:r>
          </w:p>
        </w:tc>
        <w:tc>
          <w:tcPr>
            <w:tcW w:w="1305" w:type="pct"/>
            <w:hideMark/>
          </w:tcPr>
          <w:p w14:paraId="1DCB74F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1E4973E3" w14:textId="77777777" w:rsidTr="003E5B95">
        <w:trPr>
          <w:trHeight w:val="2034"/>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5C8E891D" w14:textId="77777777" w:rsidR="003E5B95" w:rsidRPr="00D44A44" w:rsidRDefault="003E5B95" w:rsidP="003E5B95">
            <w:pPr>
              <w:spacing w:line="240" w:lineRule="auto"/>
              <w:ind w:firstLine="0"/>
              <w:rPr>
                <w:rFonts w:eastAsia="Times New Roman" w:cs="Times New Roman"/>
                <w:b w:val="0"/>
                <w:bCs w:val="0"/>
                <w:i/>
                <w:iCs/>
                <w:szCs w:val="24"/>
              </w:rPr>
            </w:pPr>
            <w:r w:rsidRPr="00D44A44">
              <w:rPr>
                <w:rFonts w:eastAsia="Times New Roman" w:cs="Times New Roman"/>
                <w:b w:val="0"/>
                <w:bCs w:val="0"/>
                <w:i/>
                <w:iCs/>
                <w:noProof/>
                <w:color w:val="222222"/>
                <w:szCs w:val="24"/>
              </w:rPr>
              <w:t>Liang et al. (2019)</w:t>
            </w:r>
          </w:p>
        </w:tc>
        <w:tc>
          <w:tcPr>
            <w:tcW w:w="893" w:type="pct"/>
            <w:tcBorders>
              <w:left w:val="single" w:sz="4" w:space="0" w:color="auto"/>
            </w:tcBorders>
          </w:tcPr>
          <w:p w14:paraId="632F15C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IT security threats: A coping model of IT security threat</w:t>
            </w:r>
          </w:p>
        </w:tc>
        <w:tc>
          <w:tcPr>
            <w:tcW w:w="905" w:type="pct"/>
          </w:tcPr>
          <w:p w14:paraId="2063FB0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Primary appraisal-perceived threat in terms of how dangerous an IT security threat is. Secondary appraisal- perceived </w:t>
            </w:r>
            <w:proofErr w:type="spellStart"/>
            <w:r w:rsidRPr="00D44A44">
              <w:rPr>
                <w:rFonts w:eastAsia="Times New Roman" w:cs="Times New Roman"/>
                <w:i/>
                <w:iCs/>
                <w:color w:val="000000"/>
                <w:szCs w:val="24"/>
              </w:rPr>
              <w:t>avoidability</w:t>
            </w:r>
            <w:proofErr w:type="spellEnd"/>
            <w:r w:rsidRPr="00D44A44">
              <w:rPr>
                <w:rFonts w:eastAsia="Times New Roman" w:cs="Times New Roman"/>
                <w:i/>
                <w:iCs/>
                <w:color w:val="000000"/>
                <w:szCs w:val="24"/>
              </w:rPr>
              <w:t xml:space="preserve"> of the IT security threat. </w:t>
            </w:r>
          </w:p>
        </w:tc>
        <w:tc>
          <w:tcPr>
            <w:tcW w:w="1135" w:type="pct"/>
          </w:tcPr>
          <w:p w14:paraId="36A296D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xml:space="preserve">Coping strategies in terms of emotion-focused coping (inward and outward) and problem-focused coping responses </w:t>
            </w:r>
            <w:proofErr w:type="gramStart"/>
            <w:r w:rsidRPr="00D44A44">
              <w:rPr>
                <w:rFonts w:eastAsia="Times New Roman" w:cs="Times New Roman"/>
                <w:i/>
                <w:iCs/>
                <w:color w:val="000000"/>
                <w:szCs w:val="24"/>
              </w:rPr>
              <w:t>as a result of</w:t>
            </w:r>
            <w:proofErr w:type="gramEnd"/>
            <w:r w:rsidRPr="00D44A44">
              <w:rPr>
                <w:rFonts w:eastAsia="Times New Roman" w:cs="Times New Roman"/>
                <w:i/>
                <w:iCs/>
                <w:color w:val="000000"/>
                <w:szCs w:val="24"/>
              </w:rPr>
              <w:t xml:space="preserve"> IT security threats</w:t>
            </w:r>
          </w:p>
        </w:tc>
        <w:tc>
          <w:tcPr>
            <w:tcW w:w="1305" w:type="pct"/>
          </w:tcPr>
          <w:p w14:paraId="168242C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r>
      <w:tr w:rsidR="003E5B95" w:rsidRPr="00D44A44" w14:paraId="6D1526ED" w14:textId="77777777" w:rsidTr="003E5B95">
        <w:trPr>
          <w:cnfStyle w:val="000000100000" w:firstRow="0" w:lastRow="0" w:firstColumn="0" w:lastColumn="0" w:oddVBand="0" w:evenVBand="0" w:oddHBand="1" w:evenHBand="0" w:firstRowFirstColumn="0" w:firstRowLastColumn="0" w:lastRowFirstColumn="0" w:lastRowLastColumn="0"/>
          <w:trHeight w:val="1278"/>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02EF94E6" w14:textId="77777777" w:rsidR="003E5B95" w:rsidRPr="00D44A44" w:rsidRDefault="003E5B95" w:rsidP="003E5B95">
            <w:pPr>
              <w:spacing w:line="240" w:lineRule="auto"/>
              <w:ind w:firstLine="0"/>
              <w:rPr>
                <w:rFonts w:eastAsia="Times New Roman" w:cs="Times New Roman"/>
                <w:b w:val="0"/>
                <w:bCs w:val="0"/>
                <w:i/>
                <w:iCs/>
                <w:color w:val="222222"/>
                <w:szCs w:val="24"/>
              </w:rPr>
            </w:pPr>
            <w:r w:rsidRPr="00D44A44">
              <w:rPr>
                <w:rFonts w:eastAsia="Times New Roman" w:cs="Times New Roman"/>
                <w:b w:val="0"/>
                <w:bCs w:val="0"/>
                <w:i/>
                <w:iCs/>
                <w:noProof/>
                <w:color w:val="222222"/>
                <w:szCs w:val="24"/>
              </w:rPr>
              <w:t>Lundgren and Bergström (2019)</w:t>
            </w:r>
          </w:p>
        </w:tc>
        <w:tc>
          <w:tcPr>
            <w:tcW w:w="893" w:type="pct"/>
            <w:tcBorders>
              <w:left w:val="single" w:sz="4" w:space="0" w:color="auto"/>
            </w:tcBorders>
          </w:tcPr>
          <w:p w14:paraId="3C2FEF5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Overload stressors*</w:t>
            </w:r>
          </w:p>
          <w:p w14:paraId="15FD571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Complexity stressors**</w:t>
            </w:r>
          </w:p>
          <w:p w14:paraId="3301E0B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SRS Uncertainty stressors***</w:t>
            </w:r>
          </w:p>
        </w:tc>
        <w:tc>
          <w:tcPr>
            <w:tcW w:w="905" w:type="pct"/>
          </w:tcPr>
          <w:p w14:paraId="6A16DFD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135" w:type="pct"/>
          </w:tcPr>
          <w:p w14:paraId="0A97062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305" w:type="pct"/>
          </w:tcPr>
          <w:p w14:paraId="5ED3594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Security related stress</w:t>
            </w:r>
          </w:p>
        </w:tc>
      </w:tr>
      <w:tr w:rsidR="003E5B95" w:rsidRPr="00D44A44" w14:paraId="2CFD5F25" w14:textId="77777777" w:rsidTr="003E5B95">
        <w:trPr>
          <w:trHeight w:val="71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F833108"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Maier et al. (2019)</w:t>
            </w:r>
          </w:p>
        </w:tc>
        <w:tc>
          <w:tcPr>
            <w:tcW w:w="893" w:type="pct"/>
            <w:tcBorders>
              <w:left w:val="single" w:sz="4" w:space="0" w:color="auto"/>
            </w:tcBorders>
            <w:hideMark/>
          </w:tcPr>
          <w:p w14:paraId="46FCDF2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 (all five dimensions)</w:t>
            </w:r>
          </w:p>
        </w:tc>
        <w:tc>
          <w:tcPr>
            <w:tcW w:w="905" w:type="pct"/>
            <w:hideMark/>
          </w:tcPr>
          <w:p w14:paraId="6E093CB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736C4EF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1D1E430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Job burnout and user performance</w:t>
            </w:r>
          </w:p>
        </w:tc>
      </w:tr>
      <w:tr w:rsidR="003E5B95" w:rsidRPr="00D44A44" w14:paraId="78933079" w14:textId="77777777" w:rsidTr="003E5B95">
        <w:trPr>
          <w:cnfStyle w:val="000000100000" w:firstRow="0" w:lastRow="0" w:firstColumn="0" w:lastColumn="0" w:oddVBand="0" w:evenVBand="0" w:oddHBand="1" w:evenHBand="0" w:firstRowFirstColumn="0" w:firstRowLastColumn="0" w:lastRowFirstColumn="0" w:lastRowLastColumn="0"/>
          <w:trHeight w:val="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0F37E9D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McCormac et al. (2018)</w:t>
            </w:r>
          </w:p>
        </w:tc>
        <w:tc>
          <w:tcPr>
            <w:tcW w:w="893" w:type="pct"/>
            <w:tcBorders>
              <w:left w:val="single" w:sz="4" w:space="0" w:color="auto"/>
            </w:tcBorders>
            <w:hideMark/>
          </w:tcPr>
          <w:p w14:paraId="6F13411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905" w:type="pct"/>
            <w:hideMark/>
          </w:tcPr>
          <w:p w14:paraId="50B5C51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6857996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stress</w:t>
            </w:r>
          </w:p>
        </w:tc>
        <w:tc>
          <w:tcPr>
            <w:tcW w:w="1305" w:type="pct"/>
            <w:hideMark/>
          </w:tcPr>
          <w:p w14:paraId="03A553F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Information Security Awareness</w:t>
            </w:r>
          </w:p>
        </w:tc>
      </w:tr>
      <w:tr w:rsidR="003E5B95" w:rsidRPr="00D44A44" w14:paraId="5B3EF504" w14:textId="77777777" w:rsidTr="003E5B95">
        <w:trPr>
          <w:trHeight w:val="76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1B79AED"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Moody and Galletta (2015)</w:t>
            </w:r>
          </w:p>
        </w:tc>
        <w:tc>
          <w:tcPr>
            <w:tcW w:w="893" w:type="pct"/>
            <w:tcBorders>
              <w:left w:val="single" w:sz="4" w:space="0" w:color="auto"/>
            </w:tcBorders>
            <w:hideMark/>
          </w:tcPr>
          <w:p w14:paraId="3BBF517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An individual's level of time constraint </w:t>
            </w:r>
          </w:p>
        </w:tc>
        <w:tc>
          <w:tcPr>
            <w:tcW w:w="905" w:type="pct"/>
            <w:hideMark/>
          </w:tcPr>
          <w:p w14:paraId="35A3F94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6E9EC61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(Effort-related) stress</w:t>
            </w:r>
          </w:p>
        </w:tc>
        <w:tc>
          <w:tcPr>
            <w:tcW w:w="1305" w:type="pct"/>
            <w:hideMark/>
          </w:tcPr>
          <w:p w14:paraId="5C238F5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Lower performance score, and negative attitude towards website</w:t>
            </w:r>
          </w:p>
        </w:tc>
      </w:tr>
      <w:tr w:rsidR="003E5B95" w:rsidRPr="00D44A44" w14:paraId="0D7ED866" w14:textId="77777777" w:rsidTr="003E5B95">
        <w:trPr>
          <w:cnfStyle w:val="000000100000" w:firstRow="0" w:lastRow="0" w:firstColumn="0" w:lastColumn="0" w:oddVBand="0" w:evenVBand="0" w:oddHBand="1" w:evenHBand="0" w:firstRowFirstColumn="0" w:firstRowLastColumn="0" w:lastRowFirstColumn="0" w:lastRowLastColumn="0"/>
          <w:trHeight w:val="139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94A7053"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Moore (2000)</w:t>
            </w:r>
          </w:p>
        </w:tc>
        <w:tc>
          <w:tcPr>
            <w:tcW w:w="893" w:type="pct"/>
            <w:tcBorders>
              <w:left w:val="single" w:sz="4" w:space="0" w:color="auto"/>
            </w:tcBorders>
            <w:hideMark/>
          </w:tcPr>
          <w:p w14:paraId="57C3D9C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workload, role ambiguity, role conflict, autonomy fairness of rewards</w:t>
            </w:r>
          </w:p>
        </w:tc>
        <w:tc>
          <w:tcPr>
            <w:tcW w:w="905" w:type="pct"/>
            <w:hideMark/>
          </w:tcPr>
          <w:p w14:paraId="0F864E8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2E807E5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w:t>
            </w:r>
          </w:p>
        </w:tc>
        <w:tc>
          <w:tcPr>
            <w:tcW w:w="1305" w:type="pct"/>
            <w:hideMark/>
          </w:tcPr>
          <w:p w14:paraId="127AD66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Turnover intention</w:t>
            </w:r>
          </w:p>
        </w:tc>
      </w:tr>
      <w:tr w:rsidR="003E5B95" w:rsidRPr="00D44A44" w14:paraId="052DD8B7"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56408B62"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Moquin and Wakefield (2016)</w:t>
            </w:r>
          </w:p>
        </w:tc>
        <w:tc>
          <w:tcPr>
            <w:tcW w:w="893" w:type="pct"/>
            <w:tcBorders>
              <w:left w:val="single" w:sz="4" w:space="0" w:color="auto"/>
            </w:tcBorders>
          </w:tcPr>
          <w:p w14:paraId="05300FA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work exhaustion, perceived emotional dissonance </w:t>
            </w:r>
          </w:p>
          <w:p w14:paraId="1FD49C4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supervisor support and salary (both are negative stressors)</w:t>
            </w:r>
          </w:p>
        </w:tc>
        <w:tc>
          <w:tcPr>
            <w:tcW w:w="905" w:type="pct"/>
          </w:tcPr>
          <w:p w14:paraId="3A7D501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tcPr>
          <w:p w14:paraId="7476C14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Psychological contract breach</w:t>
            </w:r>
          </w:p>
        </w:tc>
        <w:tc>
          <w:tcPr>
            <w:tcW w:w="1305" w:type="pct"/>
          </w:tcPr>
          <w:p w14:paraId="0AE16D6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Turnover intention</w:t>
            </w:r>
          </w:p>
        </w:tc>
      </w:tr>
      <w:tr w:rsidR="003E5B95" w:rsidRPr="00D44A44" w14:paraId="02457D2B" w14:textId="77777777" w:rsidTr="003E5B95">
        <w:trPr>
          <w:cnfStyle w:val="000000100000" w:firstRow="0" w:lastRow="0" w:firstColumn="0" w:lastColumn="0" w:oddVBand="0" w:evenVBand="0" w:oddHBand="1" w:evenHBand="0" w:firstRowFirstColumn="0" w:firstRowLastColumn="0" w:lastRowFirstColumn="0" w:lastRowLastColumn="0"/>
          <w:trHeight w:val="117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ADF99F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Park et al. (2020)</w:t>
            </w:r>
          </w:p>
        </w:tc>
        <w:tc>
          <w:tcPr>
            <w:tcW w:w="893" w:type="pct"/>
            <w:tcBorders>
              <w:left w:val="single" w:sz="4" w:space="0" w:color="auto"/>
            </w:tcBorders>
            <w:hideMark/>
          </w:tcPr>
          <w:p w14:paraId="7F23002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(Work-related) Smartphone use after work to complete work-related task</w:t>
            </w:r>
          </w:p>
        </w:tc>
        <w:tc>
          <w:tcPr>
            <w:tcW w:w="905" w:type="pct"/>
            <w:hideMark/>
          </w:tcPr>
          <w:p w14:paraId="7CCAE84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0F3E10D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burnout</w:t>
            </w:r>
          </w:p>
        </w:tc>
        <w:tc>
          <w:tcPr>
            <w:tcW w:w="1305" w:type="pct"/>
            <w:hideMark/>
          </w:tcPr>
          <w:p w14:paraId="5B19A7C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41DFD780" w14:textId="77777777" w:rsidTr="003E5B95">
        <w:trPr>
          <w:trHeight w:val="202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3EDF9D3C"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Pennington and Tuttle (2007)</w:t>
            </w:r>
          </w:p>
        </w:tc>
        <w:tc>
          <w:tcPr>
            <w:tcW w:w="893" w:type="pct"/>
            <w:tcBorders>
              <w:left w:val="single" w:sz="4" w:space="0" w:color="auto"/>
            </w:tcBorders>
          </w:tcPr>
          <w:p w14:paraId="239FCCA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Information overload</w:t>
            </w:r>
          </w:p>
        </w:tc>
        <w:tc>
          <w:tcPr>
            <w:tcW w:w="905" w:type="pct"/>
          </w:tcPr>
          <w:p w14:paraId="447A386B"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tcPr>
          <w:p w14:paraId="1FD34B5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Coping strategies for information overload: 1. Acceleration-increasing the rate at which information is being processed, 2. Filtration-filter out less important information, and 3. Using a less demanding decision model</w:t>
            </w:r>
          </w:p>
        </w:tc>
        <w:tc>
          <w:tcPr>
            <w:tcW w:w="1305" w:type="pct"/>
          </w:tcPr>
          <w:p w14:paraId="07FE4D1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Decision (decision quality in terms of consistency, cue usage, consensus, and cue weight)</w:t>
            </w:r>
          </w:p>
        </w:tc>
      </w:tr>
      <w:tr w:rsidR="003E5B95" w:rsidRPr="00D44A44" w14:paraId="3F418801" w14:textId="77777777" w:rsidTr="003E5B95">
        <w:trPr>
          <w:cnfStyle w:val="000000100000" w:firstRow="0" w:lastRow="0" w:firstColumn="0" w:lastColumn="0" w:oddVBand="0" w:evenVBand="0" w:oddHBand="1" w:evenHBand="0" w:firstRowFirstColumn="0" w:firstRowLastColumn="0" w:lastRowFirstColumn="0" w:lastRowLastColumn="0"/>
          <w:trHeight w:val="98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435B1E2B" w14:textId="77777777" w:rsidR="003E5B95" w:rsidRPr="00D44A44" w:rsidRDefault="003E5B95" w:rsidP="003E5B95">
            <w:pPr>
              <w:spacing w:line="240" w:lineRule="auto"/>
              <w:ind w:firstLine="0"/>
              <w:rPr>
                <w:rFonts w:eastAsia="Times New Roman" w:cs="Times New Roman"/>
                <w:b w:val="0"/>
                <w:bCs w:val="0"/>
                <w:i/>
                <w:iCs/>
                <w:szCs w:val="24"/>
              </w:rPr>
            </w:pPr>
            <w:r w:rsidRPr="00D44A44">
              <w:rPr>
                <w:rFonts w:eastAsia="Times New Roman" w:cs="Times New Roman"/>
                <w:b w:val="0"/>
                <w:bCs w:val="0"/>
                <w:i/>
                <w:iCs/>
                <w:noProof/>
                <w:color w:val="222222"/>
                <w:szCs w:val="24"/>
              </w:rPr>
              <w:t>Pham et al. (2016)</w:t>
            </w:r>
          </w:p>
        </w:tc>
        <w:tc>
          <w:tcPr>
            <w:tcW w:w="893" w:type="pct"/>
            <w:tcBorders>
              <w:left w:val="single" w:sz="4" w:space="0" w:color="auto"/>
            </w:tcBorders>
          </w:tcPr>
          <w:p w14:paraId="19A13B3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Compliance with security policies (security compliance demands)</w:t>
            </w:r>
          </w:p>
        </w:tc>
        <w:tc>
          <w:tcPr>
            <w:tcW w:w="905" w:type="pct"/>
          </w:tcPr>
          <w:p w14:paraId="5968FCB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NA</w:t>
            </w:r>
          </w:p>
        </w:tc>
        <w:tc>
          <w:tcPr>
            <w:tcW w:w="1135" w:type="pct"/>
          </w:tcPr>
          <w:p w14:paraId="2BB4464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 None</w:t>
            </w:r>
          </w:p>
        </w:tc>
        <w:tc>
          <w:tcPr>
            <w:tcW w:w="1305" w:type="pct"/>
          </w:tcPr>
          <w:p w14:paraId="3DFA1D4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i/>
                <w:iCs/>
                <w:szCs w:val="24"/>
              </w:rPr>
            </w:pPr>
            <w:r w:rsidRPr="00D44A44">
              <w:rPr>
                <w:rFonts w:eastAsia="Times New Roman" w:cs="Times New Roman"/>
                <w:i/>
                <w:iCs/>
                <w:color w:val="000000"/>
                <w:szCs w:val="24"/>
              </w:rPr>
              <w:t>Security Compliance</w:t>
            </w:r>
          </w:p>
        </w:tc>
      </w:tr>
      <w:tr w:rsidR="003E5B95" w:rsidRPr="00D44A44" w14:paraId="01D9A8E8" w14:textId="77777777" w:rsidTr="003E5B95">
        <w:trPr>
          <w:trHeight w:val="77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500B6115" w14:textId="77777777" w:rsidR="003E5B95" w:rsidRPr="00D44A44" w:rsidRDefault="003E5B95" w:rsidP="003E5B95">
            <w:pPr>
              <w:spacing w:line="240" w:lineRule="auto"/>
              <w:ind w:firstLine="0"/>
              <w:rPr>
                <w:rFonts w:eastAsia="Times New Roman" w:cs="Times New Roman"/>
                <w:b w:val="0"/>
                <w:bCs w:val="0"/>
                <w:i/>
                <w:iCs/>
                <w:color w:val="222222"/>
                <w:szCs w:val="24"/>
              </w:rPr>
            </w:pPr>
            <w:r w:rsidRPr="00D44A44">
              <w:rPr>
                <w:rFonts w:eastAsia="Times New Roman" w:cs="Times New Roman"/>
                <w:b w:val="0"/>
                <w:bCs w:val="0"/>
                <w:i/>
                <w:iCs/>
                <w:noProof/>
                <w:color w:val="222222"/>
                <w:szCs w:val="24"/>
              </w:rPr>
              <w:lastRenderedPageBreak/>
              <w:t>Pham (2019)</w:t>
            </w:r>
          </w:p>
        </w:tc>
        <w:tc>
          <w:tcPr>
            <w:tcW w:w="893" w:type="pct"/>
            <w:tcBorders>
              <w:left w:val="single" w:sz="4" w:space="0" w:color="auto"/>
            </w:tcBorders>
          </w:tcPr>
          <w:p w14:paraId="5F9850D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 xml:space="preserve">Compliance with security policies </w:t>
            </w:r>
          </w:p>
        </w:tc>
        <w:tc>
          <w:tcPr>
            <w:tcW w:w="905" w:type="pct"/>
          </w:tcPr>
          <w:p w14:paraId="7162761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c>
          <w:tcPr>
            <w:tcW w:w="1135" w:type="pct"/>
          </w:tcPr>
          <w:p w14:paraId="6959215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Security compliance burnout</w:t>
            </w:r>
          </w:p>
        </w:tc>
        <w:tc>
          <w:tcPr>
            <w:tcW w:w="1305" w:type="pct"/>
          </w:tcPr>
          <w:p w14:paraId="1B61612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szCs w:val="24"/>
              </w:rPr>
            </w:pPr>
            <w:r w:rsidRPr="00D44A44">
              <w:rPr>
                <w:rFonts w:eastAsia="Times New Roman" w:cs="Times New Roman"/>
                <w:i/>
                <w:iCs/>
                <w:color w:val="000000"/>
                <w:szCs w:val="24"/>
              </w:rPr>
              <w:t>NA</w:t>
            </w:r>
          </w:p>
        </w:tc>
      </w:tr>
      <w:tr w:rsidR="003E5B95" w:rsidRPr="00D44A44" w14:paraId="28DC6CE6" w14:textId="77777777" w:rsidTr="003E5B95">
        <w:trPr>
          <w:cnfStyle w:val="000000100000" w:firstRow="0" w:lastRow="0" w:firstColumn="0" w:lastColumn="0" w:oddVBand="0" w:evenVBand="0" w:oddHBand="1" w:evenHBand="0" w:firstRowFirstColumn="0" w:firstRowLastColumn="0" w:lastRowFirstColumn="0" w:lastRowLastColumn="0"/>
          <w:trHeight w:val="431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631908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Pirkkalainen et al. (2019)</w:t>
            </w:r>
          </w:p>
        </w:tc>
        <w:tc>
          <w:tcPr>
            <w:tcW w:w="893" w:type="pct"/>
            <w:tcBorders>
              <w:left w:val="single" w:sz="4" w:space="0" w:color="auto"/>
            </w:tcBorders>
            <w:hideMark/>
          </w:tcPr>
          <w:p w14:paraId="0682EA3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w:t>
            </w:r>
          </w:p>
        </w:tc>
        <w:tc>
          <w:tcPr>
            <w:tcW w:w="905" w:type="pct"/>
            <w:hideMark/>
          </w:tcPr>
          <w:p w14:paraId="675ED4B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Technostress creators are the factors that result from an individual's (primary) appraisal of the IT-related factors in the environment which are appraised as threatening and demanding or they pose the demand which exceeds an individual's resources to meet them. </w:t>
            </w:r>
          </w:p>
        </w:tc>
        <w:tc>
          <w:tcPr>
            <w:tcW w:w="1135" w:type="pct"/>
            <w:hideMark/>
          </w:tcPr>
          <w:p w14:paraId="3C12F01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The psychological experience of technostress (creators). This study suggests that reactive coping (e.g., distress venting and distancing), and proactive coping (positive reinterpretation, and IT control) acts as a moderator of the relationship between technostress creators and IT-enabled productivity) </w:t>
            </w:r>
          </w:p>
        </w:tc>
        <w:tc>
          <w:tcPr>
            <w:tcW w:w="1305" w:type="pct"/>
            <w:hideMark/>
          </w:tcPr>
          <w:p w14:paraId="3D92192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IT-enabled productivity</w:t>
            </w:r>
          </w:p>
        </w:tc>
      </w:tr>
      <w:tr w:rsidR="003E5B95" w:rsidRPr="00D44A44" w14:paraId="2C7DCD48" w14:textId="77777777" w:rsidTr="003E5B95">
        <w:trPr>
          <w:trHeight w:val="234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B4A8B13"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Ragu-Nathan et al. (2008)</w:t>
            </w:r>
          </w:p>
        </w:tc>
        <w:tc>
          <w:tcPr>
            <w:tcW w:w="893" w:type="pct"/>
            <w:tcBorders>
              <w:left w:val="single" w:sz="4" w:space="0" w:color="auto"/>
            </w:tcBorders>
            <w:hideMark/>
          </w:tcPr>
          <w:p w14:paraId="65C6115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creators-techno-overload, techno-complexity, techno-insecurity, techno-invasion, and techno-uncertainty</w:t>
            </w:r>
          </w:p>
        </w:tc>
        <w:tc>
          <w:tcPr>
            <w:tcW w:w="905" w:type="pct"/>
            <w:hideMark/>
          </w:tcPr>
          <w:p w14:paraId="7A954F9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This research suggests a positive, and pleasurable emotional state results from the appraisal of one's job or job experiences (but does not further elaborate on this)</w:t>
            </w:r>
          </w:p>
        </w:tc>
        <w:tc>
          <w:tcPr>
            <w:tcW w:w="1135" w:type="pct"/>
            <w:hideMark/>
          </w:tcPr>
          <w:p w14:paraId="4D1A304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Strain, operationalized in the form of job satisfaction</w:t>
            </w:r>
          </w:p>
        </w:tc>
        <w:tc>
          <w:tcPr>
            <w:tcW w:w="1305" w:type="pct"/>
            <w:hideMark/>
          </w:tcPr>
          <w:p w14:paraId="00BB4CC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Organizational commitment and continuance commitment</w:t>
            </w:r>
          </w:p>
        </w:tc>
      </w:tr>
      <w:tr w:rsidR="003E5B95" w:rsidRPr="00D44A44" w14:paraId="7675D146" w14:textId="77777777" w:rsidTr="003E5B95">
        <w:trPr>
          <w:cnfStyle w:val="000000100000" w:firstRow="0" w:lastRow="0" w:firstColumn="0" w:lastColumn="0" w:oddVBand="0" w:evenVBand="0" w:oddHBand="1" w:evenHBand="0" w:firstRowFirstColumn="0" w:firstRowLastColumn="0" w:lastRowFirstColumn="0" w:lastRowLastColumn="0"/>
          <w:trHeight w:val="80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1390C36"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Reinke and Chamorro-Premuzic (2014)</w:t>
            </w:r>
          </w:p>
        </w:tc>
        <w:tc>
          <w:tcPr>
            <w:tcW w:w="893" w:type="pct"/>
            <w:tcBorders>
              <w:left w:val="single" w:sz="4" w:space="0" w:color="auto"/>
            </w:tcBorders>
            <w:hideMark/>
          </w:tcPr>
          <w:p w14:paraId="34965CC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Email overload</w:t>
            </w:r>
          </w:p>
        </w:tc>
        <w:tc>
          <w:tcPr>
            <w:tcW w:w="905" w:type="pct"/>
            <w:hideMark/>
          </w:tcPr>
          <w:p w14:paraId="077228C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4192C55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Burnout </w:t>
            </w:r>
          </w:p>
        </w:tc>
        <w:tc>
          <w:tcPr>
            <w:tcW w:w="1305" w:type="pct"/>
            <w:hideMark/>
          </w:tcPr>
          <w:p w14:paraId="36A86D4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635D560E" w14:textId="77777777" w:rsidTr="003E5B95">
        <w:trPr>
          <w:trHeight w:val="153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0EA7460"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Rutner et al. (2008)</w:t>
            </w:r>
          </w:p>
        </w:tc>
        <w:tc>
          <w:tcPr>
            <w:tcW w:w="893" w:type="pct"/>
            <w:tcBorders>
              <w:left w:val="single" w:sz="4" w:space="0" w:color="auto"/>
            </w:tcBorders>
            <w:hideMark/>
          </w:tcPr>
          <w:p w14:paraId="5D7F49C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workload, role ambiguity, role conflict, autonomy, fairness of rewards, negative emotional dissonance, positive emotional dissonance</w:t>
            </w:r>
          </w:p>
        </w:tc>
        <w:tc>
          <w:tcPr>
            <w:tcW w:w="905" w:type="pct"/>
            <w:hideMark/>
          </w:tcPr>
          <w:p w14:paraId="773E85B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49D050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 and job satisfaction</w:t>
            </w:r>
          </w:p>
        </w:tc>
        <w:tc>
          <w:tcPr>
            <w:tcW w:w="1305" w:type="pct"/>
            <w:hideMark/>
          </w:tcPr>
          <w:p w14:paraId="06D6393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Turnover intention </w:t>
            </w:r>
          </w:p>
        </w:tc>
      </w:tr>
      <w:tr w:rsidR="003E5B95" w:rsidRPr="00D44A44" w14:paraId="4C06F3F0" w14:textId="77777777" w:rsidTr="003E5B95">
        <w:trPr>
          <w:cnfStyle w:val="000000100000" w:firstRow="0" w:lastRow="0" w:firstColumn="0" w:lastColumn="0" w:oddVBand="0" w:evenVBand="0" w:oddHBand="1" w:evenHBand="0" w:firstRowFirstColumn="0" w:firstRowLastColumn="0" w:lastRowFirstColumn="0" w:lastRowLastColumn="0"/>
          <w:trHeight w:val="242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0EBB52F2"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Salanova et al. (2000)</w:t>
            </w:r>
          </w:p>
        </w:tc>
        <w:tc>
          <w:tcPr>
            <w:tcW w:w="893" w:type="pct"/>
            <w:tcBorders>
              <w:left w:val="single" w:sz="4" w:space="0" w:color="auto"/>
            </w:tcBorders>
            <w:hideMark/>
          </w:tcPr>
          <w:p w14:paraId="4369CB0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Computer-aided technology, more specifically, the types of technology exposure such as frequency of usage, computer training, and computer self-efficacy</w:t>
            </w:r>
          </w:p>
        </w:tc>
        <w:tc>
          <w:tcPr>
            <w:tcW w:w="905" w:type="pct"/>
            <w:hideMark/>
          </w:tcPr>
          <w:p w14:paraId="4C9FBA5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26BB944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Professional burnout (exhaustion and cynicism)</w:t>
            </w:r>
          </w:p>
        </w:tc>
        <w:tc>
          <w:tcPr>
            <w:tcW w:w="1305" w:type="pct"/>
            <w:hideMark/>
          </w:tcPr>
          <w:p w14:paraId="05348CB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75D562A4" w14:textId="77777777" w:rsidTr="003E5B95">
        <w:trPr>
          <w:trHeight w:val="123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1C92584"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Shih et al. (2011)</w:t>
            </w:r>
          </w:p>
        </w:tc>
        <w:tc>
          <w:tcPr>
            <w:tcW w:w="893" w:type="pct"/>
            <w:tcBorders>
              <w:left w:val="single" w:sz="4" w:space="0" w:color="auto"/>
            </w:tcBorders>
            <w:hideMark/>
          </w:tcPr>
          <w:p w14:paraId="5CB0FEE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Learning demands for IT professionals (IT job learning demand)</w:t>
            </w:r>
          </w:p>
        </w:tc>
        <w:tc>
          <w:tcPr>
            <w:tcW w:w="905" w:type="pct"/>
            <w:hideMark/>
          </w:tcPr>
          <w:p w14:paraId="0D3109B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r w:rsidRPr="00D44A44">
              <w:rPr>
                <w:rStyle w:val="FootnoteReference"/>
                <w:rFonts w:eastAsia="Times New Roman"/>
                <w:szCs w:val="24"/>
              </w:rPr>
              <w:footnoteReference w:id="5"/>
            </w:r>
            <w:r w:rsidRPr="00D44A44">
              <w:rPr>
                <w:rFonts w:eastAsia="Times New Roman" w:cs="Times New Roman"/>
                <w:szCs w:val="24"/>
              </w:rPr>
              <w:t xml:space="preserve"> </w:t>
            </w:r>
          </w:p>
        </w:tc>
        <w:tc>
          <w:tcPr>
            <w:tcW w:w="1135" w:type="pct"/>
            <w:hideMark/>
          </w:tcPr>
          <w:p w14:paraId="2D4D903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w:t>
            </w:r>
          </w:p>
        </w:tc>
        <w:tc>
          <w:tcPr>
            <w:tcW w:w="1305" w:type="pct"/>
            <w:hideMark/>
          </w:tcPr>
          <w:p w14:paraId="13A32BD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Turn over intention </w:t>
            </w:r>
          </w:p>
        </w:tc>
      </w:tr>
      <w:tr w:rsidR="003E5B95" w:rsidRPr="00D44A44" w14:paraId="2E1C65FE" w14:textId="77777777" w:rsidTr="00507804">
        <w:trPr>
          <w:cnfStyle w:val="000000100000" w:firstRow="0" w:lastRow="0" w:firstColumn="0" w:lastColumn="0" w:oddVBand="0" w:evenVBand="0" w:oddHBand="1" w:evenHBand="0" w:firstRowFirstColumn="0" w:firstRowLastColumn="0" w:lastRowFirstColumn="0" w:lastRowLastColumn="0"/>
          <w:trHeight w:val="72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6362CBC"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Shih et al. (2013)</w:t>
            </w:r>
          </w:p>
        </w:tc>
        <w:tc>
          <w:tcPr>
            <w:tcW w:w="893" w:type="pct"/>
            <w:tcBorders>
              <w:left w:val="single" w:sz="4" w:space="0" w:color="auto"/>
            </w:tcBorders>
            <w:hideMark/>
          </w:tcPr>
          <w:p w14:paraId="375EE53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workload, role ambiguity, role conflict, autonomy, fairness of rewards, negative emotional dissonance, </w:t>
            </w:r>
            <w:r w:rsidRPr="00D44A44">
              <w:rPr>
                <w:rFonts w:eastAsia="Times New Roman" w:cs="Times New Roman"/>
                <w:szCs w:val="24"/>
              </w:rPr>
              <w:lastRenderedPageBreak/>
              <w:t>positive emotional dissonance</w:t>
            </w:r>
          </w:p>
        </w:tc>
        <w:tc>
          <w:tcPr>
            <w:tcW w:w="905" w:type="pct"/>
            <w:hideMark/>
          </w:tcPr>
          <w:p w14:paraId="4E8C3C4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NA</w:t>
            </w:r>
          </w:p>
        </w:tc>
        <w:tc>
          <w:tcPr>
            <w:tcW w:w="1135" w:type="pct"/>
            <w:hideMark/>
          </w:tcPr>
          <w:p w14:paraId="74F2678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 exhaustion, job satisfaction, and depersonalization</w:t>
            </w:r>
          </w:p>
        </w:tc>
        <w:tc>
          <w:tcPr>
            <w:tcW w:w="1305" w:type="pct"/>
            <w:hideMark/>
          </w:tcPr>
          <w:p w14:paraId="127BB005"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Personal accomplishments</w:t>
            </w:r>
          </w:p>
        </w:tc>
      </w:tr>
      <w:tr w:rsidR="003E5B95" w:rsidRPr="00D44A44" w14:paraId="6627B021" w14:textId="77777777" w:rsidTr="003E5B95">
        <w:trPr>
          <w:trHeight w:val="62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tcPr>
          <w:p w14:paraId="12818144"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Shropshire and Kadlec (2012)</w:t>
            </w:r>
          </w:p>
        </w:tc>
        <w:tc>
          <w:tcPr>
            <w:tcW w:w="893" w:type="pct"/>
            <w:tcBorders>
              <w:left w:val="single" w:sz="4" w:space="0" w:color="auto"/>
            </w:tcBorders>
          </w:tcPr>
          <w:p w14:paraId="0D48C5D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905" w:type="pct"/>
          </w:tcPr>
          <w:p w14:paraId="3BDA0B5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tcPr>
          <w:p w14:paraId="36F2D53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Stress, job insecurity, burnout</w:t>
            </w:r>
          </w:p>
        </w:tc>
        <w:tc>
          <w:tcPr>
            <w:tcW w:w="1305" w:type="pct"/>
          </w:tcPr>
          <w:p w14:paraId="1CEA5E1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Intention to leave the information technology field</w:t>
            </w:r>
          </w:p>
        </w:tc>
      </w:tr>
      <w:tr w:rsidR="003E5B95" w:rsidRPr="00D44A44" w14:paraId="7298BF15" w14:textId="77777777" w:rsidTr="003E5B95">
        <w:trPr>
          <w:cnfStyle w:val="000000100000" w:firstRow="0" w:lastRow="0" w:firstColumn="0" w:lastColumn="0" w:oddVBand="0" w:evenVBand="0" w:oddHBand="1" w:evenHBand="0" w:firstRowFirstColumn="0" w:firstRowLastColumn="0" w:lastRowFirstColumn="0" w:lastRowLastColumn="0"/>
          <w:trHeight w:val="2961"/>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B9CC8C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Srivastava et al. (2015)</w:t>
            </w:r>
          </w:p>
        </w:tc>
        <w:tc>
          <w:tcPr>
            <w:tcW w:w="893" w:type="pct"/>
            <w:tcBorders>
              <w:left w:val="single" w:sz="4" w:space="0" w:color="auto"/>
            </w:tcBorders>
            <w:hideMark/>
          </w:tcPr>
          <w:p w14:paraId="68CFCF5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 techno-overload, techno-complexity, techno-invasion, techno-insecurity, and techno-uncertainty</w:t>
            </w:r>
          </w:p>
        </w:tc>
        <w:tc>
          <w:tcPr>
            <w:tcW w:w="905" w:type="pct"/>
            <w:hideMark/>
          </w:tcPr>
          <w:p w14:paraId="0751196A"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An appraisal (primary and secondary appraisal) of stressor mediates the relationship between (techno)stress creators and generated stress, and this appraisal varies by an individual's personality. </w:t>
            </w:r>
          </w:p>
        </w:tc>
        <w:tc>
          <w:tcPr>
            <w:tcW w:w="1135" w:type="pct"/>
            <w:hideMark/>
          </w:tcPr>
          <w:p w14:paraId="4D48B9D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Job burnout and job engagement </w:t>
            </w:r>
          </w:p>
        </w:tc>
        <w:tc>
          <w:tcPr>
            <w:tcW w:w="1305" w:type="pct"/>
            <w:hideMark/>
          </w:tcPr>
          <w:p w14:paraId="7A0D7D9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757FC327" w14:textId="77777777" w:rsidTr="003E5B95">
        <w:trPr>
          <w:trHeight w:val="62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8E77ABE"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Stich et al. (2019a)</w:t>
            </w:r>
          </w:p>
        </w:tc>
        <w:tc>
          <w:tcPr>
            <w:tcW w:w="893" w:type="pct"/>
            <w:tcBorders>
              <w:left w:val="single" w:sz="4" w:space="0" w:color="auto"/>
            </w:tcBorders>
            <w:hideMark/>
          </w:tcPr>
          <w:p w14:paraId="135CBD71"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The discrepancy between desired email load and current email load</w:t>
            </w:r>
          </w:p>
        </w:tc>
        <w:tc>
          <w:tcPr>
            <w:tcW w:w="905" w:type="pct"/>
            <w:hideMark/>
          </w:tcPr>
          <w:p w14:paraId="67DC598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The appraisal is in terms of discrepancy reducing mechanism and discrepancy enhancing mechanisms </w:t>
            </w:r>
          </w:p>
        </w:tc>
        <w:tc>
          <w:tcPr>
            <w:tcW w:w="1135" w:type="pct"/>
            <w:hideMark/>
          </w:tcPr>
          <w:p w14:paraId="0B63D38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Workload stress which is positively related to cognitive outcome (psychological strain), affective outcome (negative emotions)</w:t>
            </w:r>
          </w:p>
        </w:tc>
        <w:tc>
          <w:tcPr>
            <w:tcW w:w="1305" w:type="pct"/>
            <w:hideMark/>
          </w:tcPr>
          <w:p w14:paraId="0FB6DE6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Organizational commitment </w:t>
            </w:r>
          </w:p>
        </w:tc>
      </w:tr>
      <w:tr w:rsidR="003E5B95" w:rsidRPr="00D44A44" w14:paraId="6364693B" w14:textId="77777777" w:rsidTr="003E5B95">
        <w:trPr>
          <w:cnfStyle w:val="000000100000" w:firstRow="0" w:lastRow="0" w:firstColumn="0" w:lastColumn="0" w:oddVBand="0" w:evenVBand="0" w:oddHBand="1" w:evenHBand="0" w:firstRowFirstColumn="0" w:firstRowLastColumn="0" w:lastRowFirstColumn="0" w:lastRowLastColumn="0"/>
          <w:trHeight w:val="19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16E9AEA"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Stich et al. (2019b)</w:t>
            </w:r>
          </w:p>
        </w:tc>
        <w:tc>
          <w:tcPr>
            <w:tcW w:w="893" w:type="pct"/>
            <w:tcBorders>
              <w:left w:val="single" w:sz="4" w:space="0" w:color="auto"/>
            </w:tcBorders>
            <w:hideMark/>
          </w:tcPr>
          <w:p w14:paraId="4B39E4A4"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Workplace stressors (Work relationship stressor, job control stressor, and job conditions stressor)</w:t>
            </w:r>
          </w:p>
        </w:tc>
        <w:tc>
          <w:tcPr>
            <w:tcW w:w="905" w:type="pct"/>
            <w:hideMark/>
          </w:tcPr>
          <w:p w14:paraId="0705350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Cognitive appraisal of email use is deemed stressful based on individuals' current and desired extents of email use. </w:t>
            </w:r>
          </w:p>
        </w:tc>
        <w:tc>
          <w:tcPr>
            <w:tcW w:w="1135" w:type="pct"/>
            <w:hideMark/>
          </w:tcPr>
          <w:p w14:paraId="6DD12CE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0CB3A8E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50B5037A" w14:textId="77777777" w:rsidTr="003E5B95">
        <w:trPr>
          <w:trHeight w:val="137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E25F42C"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Tams, Legoux, et al. (2018)</w:t>
            </w:r>
          </w:p>
        </w:tc>
        <w:tc>
          <w:tcPr>
            <w:tcW w:w="893" w:type="pct"/>
            <w:tcBorders>
              <w:left w:val="single" w:sz="4" w:space="0" w:color="auto"/>
            </w:tcBorders>
            <w:hideMark/>
          </w:tcPr>
          <w:p w14:paraId="3114F98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Smartphone withdrawal (nomophobia, i.e., the fear of not being able to use one's phone)</w:t>
            </w:r>
          </w:p>
        </w:tc>
        <w:tc>
          <w:tcPr>
            <w:tcW w:w="905" w:type="pct"/>
            <w:hideMark/>
          </w:tcPr>
          <w:p w14:paraId="0CB4823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Nomophobia is appraised as a "social threat".</w:t>
            </w:r>
          </w:p>
        </w:tc>
        <w:tc>
          <w:tcPr>
            <w:tcW w:w="1135" w:type="pct"/>
            <w:hideMark/>
          </w:tcPr>
          <w:p w14:paraId="03F41BE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Stress</w:t>
            </w:r>
          </w:p>
        </w:tc>
        <w:tc>
          <w:tcPr>
            <w:tcW w:w="1305" w:type="pct"/>
            <w:hideMark/>
          </w:tcPr>
          <w:p w14:paraId="46DE141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6A771B0E" w14:textId="77777777" w:rsidTr="003E5B95">
        <w:trPr>
          <w:cnfStyle w:val="000000100000" w:firstRow="0" w:lastRow="0" w:firstColumn="0" w:lastColumn="0" w:oddVBand="0" w:evenVBand="0" w:oddHBand="1" w:evenHBand="0" w:firstRowFirstColumn="0" w:firstRowLastColumn="0" w:lastRowFirstColumn="0" w:lastRowLastColumn="0"/>
          <w:trHeight w:val="765"/>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B5352B6"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Tams et al. (2020)</w:t>
            </w:r>
          </w:p>
        </w:tc>
        <w:tc>
          <w:tcPr>
            <w:tcW w:w="893" w:type="pct"/>
            <w:tcBorders>
              <w:left w:val="single" w:sz="4" w:space="0" w:color="auto"/>
            </w:tcBorders>
            <w:hideMark/>
          </w:tcPr>
          <w:p w14:paraId="5698DF7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interruption overload</w:t>
            </w:r>
          </w:p>
        </w:tc>
        <w:tc>
          <w:tcPr>
            <w:tcW w:w="905" w:type="pct"/>
            <w:hideMark/>
          </w:tcPr>
          <w:p w14:paraId="41C1BFC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40E7368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Work-life conflict</w:t>
            </w:r>
          </w:p>
        </w:tc>
        <w:tc>
          <w:tcPr>
            <w:tcW w:w="1305" w:type="pct"/>
            <w:hideMark/>
          </w:tcPr>
          <w:p w14:paraId="0124590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Work-related technology usage</w:t>
            </w:r>
          </w:p>
        </w:tc>
      </w:tr>
      <w:tr w:rsidR="003E5B95" w:rsidRPr="00D44A44" w14:paraId="208B7A55" w14:textId="77777777" w:rsidTr="003E5B95">
        <w:trPr>
          <w:trHeight w:val="69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655E1E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Tams et al. (2014)</w:t>
            </w:r>
          </w:p>
        </w:tc>
        <w:tc>
          <w:tcPr>
            <w:tcW w:w="893" w:type="pct"/>
            <w:tcBorders>
              <w:left w:val="single" w:sz="4" w:space="0" w:color="auto"/>
            </w:tcBorders>
            <w:hideMark/>
          </w:tcPr>
          <w:p w14:paraId="57C8E70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computer based task (computer breakdown)</w:t>
            </w:r>
          </w:p>
        </w:tc>
        <w:tc>
          <w:tcPr>
            <w:tcW w:w="905" w:type="pct"/>
            <w:hideMark/>
          </w:tcPr>
          <w:p w14:paraId="515334A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0016FCD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Physiological and psychological level of stress</w:t>
            </w:r>
          </w:p>
        </w:tc>
        <w:tc>
          <w:tcPr>
            <w:tcW w:w="1305" w:type="pct"/>
            <w:hideMark/>
          </w:tcPr>
          <w:p w14:paraId="0CEDF98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Performance on the computer-based task</w:t>
            </w:r>
          </w:p>
        </w:tc>
      </w:tr>
      <w:tr w:rsidR="003E5B95" w:rsidRPr="00D44A44" w14:paraId="040DBAD4" w14:textId="77777777" w:rsidTr="003E5B95">
        <w:trPr>
          <w:cnfStyle w:val="000000100000" w:firstRow="0" w:lastRow="0" w:firstColumn="0" w:lastColumn="0" w:oddVBand="0" w:evenVBand="0" w:oddHBand="1" w:evenHBand="0" w:firstRowFirstColumn="0" w:firstRowLastColumn="0" w:lastRowFirstColumn="0" w:lastRowLastColumn="0"/>
          <w:trHeight w:val="1773"/>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1E0C36D"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Tams, Thatcher, et al. (2018)</w:t>
            </w:r>
          </w:p>
        </w:tc>
        <w:tc>
          <w:tcPr>
            <w:tcW w:w="893" w:type="pct"/>
            <w:tcBorders>
              <w:left w:val="single" w:sz="4" w:space="0" w:color="auto"/>
            </w:tcBorders>
            <w:hideMark/>
          </w:tcPr>
          <w:p w14:paraId="46B5E4D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Technology mediated interruptions (T-M interruptions)- Frequency of T-M interruptions and salience of T-M interruptions</w:t>
            </w:r>
          </w:p>
        </w:tc>
        <w:tc>
          <w:tcPr>
            <w:tcW w:w="905" w:type="pct"/>
            <w:hideMark/>
          </w:tcPr>
          <w:p w14:paraId="4B1A024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FD6FBC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Perceived mental workload perception which in turn affect the level of stress</w:t>
            </w:r>
          </w:p>
        </w:tc>
        <w:tc>
          <w:tcPr>
            <w:tcW w:w="1305" w:type="pct"/>
            <w:hideMark/>
          </w:tcPr>
          <w:p w14:paraId="358680F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Task performance</w:t>
            </w:r>
          </w:p>
        </w:tc>
      </w:tr>
      <w:tr w:rsidR="003E5B95" w:rsidRPr="00D44A44" w14:paraId="6E0C7C05" w14:textId="77777777" w:rsidTr="003E5B95">
        <w:trPr>
          <w:trHeight w:val="155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DC5149C"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Tarafdar et al. (2015)</w:t>
            </w:r>
          </w:p>
        </w:tc>
        <w:tc>
          <w:tcPr>
            <w:tcW w:w="893" w:type="pct"/>
            <w:tcBorders>
              <w:left w:val="single" w:sz="4" w:space="0" w:color="auto"/>
            </w:tcBorders>
            <w:hideMark/>
          </w:tcPr>
          <w:p w14:paraId="2CB463F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 (techno-overload, techno-complexity, techno-insecurity, and techno-invasion)</w:t>
            </w:r>
          </w:p>
        </w:tc>
        <w:tc>
          <w:tcPr>
            <w:tcW w:w="905" w:type="pct"/>
            <w:hideMark/>
          </w:tcPr>
          <w:p w14:paraId="1F6CA70C"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26512B7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12FC246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Technology enabled performance and sales performance</w:t>
            </w:r>
          </w:p>
        </w:tc>
      </w:tr>
      <w:tr w:rsidR="003E5B95" w:rsidRPr="00D44A44" w14:paraId="17D4C3AC" w14:textId="77777777" w:rsidTr="003E5B95">
        <w:trPr>
          <w:cnfStyle w:val="000000100000" w:firstRow="0" w:lastRow="0" w:firstColumn="0" w:lastColumn="0" w:oddVBand="0" w:evenVBand="0" w:oddHBand="1" w:evenHBand="0" w:firstRowFirstColumn="0" w:firstRowLastColumn="0" w:lastRowFirstColumn="0" w:lastRowLastColumn="0"/>
          <w:trHeight w:val="782"/>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FFEC366"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Tarafdar et al. (2010)</w:t>
            </w:r>
          </w:p>
        </w:tc>
        <w:tc>
          <w:tcPr>
            <w:tcW w:w="893" w:type="pct"/>
            <w:tcBorders>
              <w:left w:val="single" w:sz="4" w:space="0" w:color="auto"/>
            </w:tcBorders>
            <w:hideMark/>
          </w:tcPr>
          <w:p w14:paraId="1B9B1C5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w:t>
            </w:r>
          </w:p>
        </w:tc>
        <w:tc>
          <w:tcPr>
            <w:tcW w:w="905" w:type="pct"/>
            <w:hideMark/>
          </w:tcPr>
          <w:p w14:paraId="289BDC7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7E64F83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End-user satisfaction, a positive attitude, and perception towards the technology</w:t>
            </w:r>
          </w:p>
        </w:tc>
        <w:tc>
          <w:tcPr>
            <w:tcW w:w="1305" w:type="pct"/>
            <w:hideMark/>
          </w:tcPr>
          <w:p w14:paraId="02948C3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A decrease in the end-user performance</w:t>
            </w:r>
          </w:p>
        </w:tc>
      </w:tr>
      <w:tr w:rsidR="003E5B95" w:rsidRPr="00D44A44" w14:paraId="4DC03443" w14:textId="77777777" w:rsidTr="003E5B95">
        <w:trPr>
          <w:trHeight w:val="53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8636A36"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Tarafdar et al. (2007)</w:t>
            </w:r>
            <w:r w:rsidRPr="00D44A44">
              <w:rPr>
                <w:rFonts w:eastAsia="Times New Roman" w:cs="Times New Roman"/>
                <w:b w:val="0"/>
                <w:bCs w:val="0"/>
                <w:szCs w:val="24"/>
              </w:rPr>
              <w:t xml:space="preserve"> </w:t>
            </w:r>
          </w:p>
        </w:tc>
        <w:tc>
          <w:tcPr>
            <w:tcW w:w="893" w:type="pct"/>
            <w:tcBorders>
              <w:left w:val="single" w:sz="4" w:space="0" w:color="auto"/>
            </w:tcBorders>
            <w:hideMark/>
          </w:tcPr>
          <w:p w14:paraId="78EE8A7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w:t>
            </w:r>
          </w:p>
        </w:tc>
        <w:tc>
          <w:tcPr>
            <w:tcW w:w="905" w:type="pct"/>
            <w:hideMark/>
          </w:tcPr>
          <w:p w14:paraId="72429978"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0006914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Role stress is caused due to role conflict and role overload</w:t>
            </w:r>
          </w:p>
        </w:tc>
        <w:tc>
          <w:tcPr>
            <w:tcW w:w="1305" w:type="pct"/>
            <w:hideMark/>
          </w:tcPr>
          <w:p w14:paraId="16FEF31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Individual's (task) productivity </w:t>
            </w:r>
          </w:p>
        </w:tc>
      </w:tr>
      <w:tr w:rsidR="003E5B95" w:rsidRPr="00D44A44" w14:paraId="6DA5F049" w14:textId="77777777" w:rsidTr="003E5B95">
        <w:trPr>
          <w:cnfStyle w:val="000000100000" w:firstRow="0" w:lastRow="0" w:firstColumn="0" w:lastColumn="0" w:oddVBand="0" w:evenVBand="0" w:oddHBand="1" w:evenHBand="0" w:firstRowFirstColumn="0" w:firstRowLastColumn="0" w:lastRowFirstColumn="0" w:lastRowLastColumn="0"/>
          <w:trHeight w:val="198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61A1C859"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Tobler et al. (2017)</w:t>
            </w:r>
          </w:p>
        </w:tc>
        <w:tc>
          <w:tcPr>
            <w:tcW w:w="893" w:type="pct"/>
            <w:tcBorders>
              <w:left w:val="single" w:sz="4" w:space="0" w:color="auto"/>
            </w:tcBorders>
            <w:hideMark/>
          </w:tcPr>
          <w:p w14:paraId="168FD613"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Awareness of an IT event [implementation of EHR in a medium-sized physician group]</w:t>
            </w:r>
          </w:p>
        </w:tc>
        <w:tc>
          <w:tcPr>
            <w:tcW w:w="905" w:type="pct"/>
            <w:hideMark/>
          </w:tcPr>
          <w:p w14:paraId="2714654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Primary appraisal as threat vs opportunity, Secondary appraisal as in terms of high control vs low control</w:t>
            </w:r>
          </w:p>
        </w:tc>
        <w:tc>
          <w:tcPr>
            <w:tcW w:w="1135" w:type="pct"/>
            <w:hideMark/>
          </w:tcPr>
          <w:p w14:paraId="547E2E7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Adaptation efforts in the form of benefits maximizing strategy, benefits satisfying strategy, disturbance handing strategy, and self-preservation strategy</w:t>
            </w:r>
          </w:p>
        </w:tc>
        <w:tc>
          <w:tcPr>
            <w:tcW w:w="1305" w:type="pct"/>
            <w:hideMark/>
          </w:tcPr>
          <w:p w14:paraId="07CA0EC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Individual efficiency and effectiveness, minimization of the negative consequences of the IT event, restoring personal emotional stability and exit</w:t>
            </w:r>
          </w:p>
        </w:tc>
      </w:tr>
      <w:tr w:rsidR="003E5B95" w:rsidRPr="00D44A44" w14:paraId="3998AB73" w14:textId="77777777" w:rsidTr="003E5B95">
        <w:trPr>
          <w:trHeight w:val="117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1200145D"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Venkatesh et al. (2018)</w:t>
            </w:r>
          </w:p>
        </w:tc>
        <w:tc>
          <w:tcPr>
            <w:tcW w:w="893" w:type="pct"/>
            <w:tcBorders>
              <w:left w:val="single" w:sz="4" w:space="0" w:color="auto"/>
            </w:tcBorders>
            <w:hideMark/>
          </w:tcPr>
          <w:p w14:paraId="2819E05F"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Technical project risk factors represent the extent to which IS projects have volatile and unclear requirements (requirement risk) or must be deployed at multiple, unfamiliar, or new technology platforms (project complexity risk)</w:t>
            </w:r>
          </w:p>
        </w:tc>
        <w:tc>
          <w:tcPr>
            <w:tcW w:w="905" w:type="pct"/>
            <w:hideMark/>
          </w:tcPr>
          <w:p w14:paraId="03C152E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This paper suggests there is an appraisal of the technical IS project risk factors but not explained how. </w:t>
            </w:r>
          </w:p>
        </w:tc>
        <w:tc>
          <w:tcPr>
            <w:tcW w:w="1135" w:type="pct"/>
            <w:hideMark/>
          </w:tcPr>
          <w:p w14:paraId="2A96898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Psychological stress</w:t>
            </w:r>
          </w:p>
        </w:tc>
        <w:tc>
          <w:tcPr>
            <w:tcW w:w="1305" w:type="pct"/>
            <w:hideMark/>
          </w:tcPr>
          <w:p w14:paraId="6C27454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Individual performance (ratings obtained from the IS project manager for every developer)</w:t>
            </w:r>
          </w:p>
        </w:tc>
      </w:tr>
      <w:tr w:rsidR="003E5B95" w:rsidRPr="00D44A44" w14:paraId="3ACB4E6C" w14:textId="77777777" w:rsidTr="003E5B95">
        <w:trPr>
          <w:cnfStyle w:val="000000100000" w:firstRow="0" w:lastRow="0" w:firstColumn="0" w:lastColumn="0" w:oddVBand="0" w:evenVBand="0" w:oddHBand="1" w:evenHBand="0" w:firstRowFirstColumn="0" w:firstRowLastColumn="0" w:lastRowFirstColumn="0" w:lastRowLastColumn="0"/>
          <w:trHeight w:val="63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30F636B7"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Wang et al. (2008)</w:t>
            </w:r>
          </w:p>
        </w:tc>
        <w:tc>
          <w:tcPr>
            <w:tcW w:w="893" w:type="pct"/>
            <w:tcBorders>
              <w:left w:val="single" w:sz="4" w:space="0" w:color="auto"/>
            </w:tcBorders>
            <w:hideMark/>
          </w:tcPr>
          <w:p w14:paraId="709DDF72"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Technostress creators (techno-overload, techno-invasion, techno-complexity, techno-insecurity, and techno-uncertainty)</w:t>
            </w:r>
          </w:p>
        </w:tc>
        <w:tc>
          <w:tcPr>
            <w:tcW w:w="905" w:type="pct"/>
            <w:hideMark/>
          </w:tcPr>
          <w:p w14:paraId="739217DD"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46AA787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305" w:type="pct"/>
            <w:hideMark/>
          </w:tcPr>
          <w:p w14:paraId="14DB43F8"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r>
      <w:tr w:rsidR="003E5B95" w:rsidRPr="00D44A44" w14:paraId="0B32BFCB" w14:textId="77777777" w:rsidTr="003E5B95">
        <w:trPr>
          <w:trHeight w:val="53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248C4A18"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lastRenderedPageBreak/>
              <w:t>Wang et al. (2017)</w:t>
            </w:r>
            <w:r w:rsidRPr="00D44A44">
              <w:rPr>
                <w:rStyle w:val="FootnoteReference"/>
                <w:rFonts w:eastAsia="Times New Roman"/>
                <w:b w:val="0"/>
                <w:bCs w:val="0"/>
                <w:szCs w:val="24"/>
              </w:rPr>
              <w:footnoteReference w:id="6"/>
            </w:r>
          </w:p>
        </w:tc>
        <w:tc>
          <w:tcPr>
            <w:tcW w:w="893" w:type="pct"/>
            <w:tcBorders>
              <w:left w:val="single" w:sz="4" w:space="0" w:color="auto"/>
            </w:tcBorders>
            <w:hideMark/>
          </w:tcPr>
          <w:p w14:paraId="350351C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Phishing emails</w:t>
            </w:r>
          </w:p>
        </w:tc>
        <w:tc>
          <w:tcPr>
            <w:tcW w:w="905" w:type="pct"/>
            <w:hideMark/>
          </w:tcPr>
          <w:p w14:paraId="5B656868"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Rooted in EPPM, threat appraisal, and coping appraisal. If a potential threat is perceived, it initiates coping appraisal to find out the necessary countermeasures to deal with the threat. </w:t>
            </w:r>
          </w:p>
        </w:tc>
        <w:tc>
          <w:tcPr>
            <w:tcW w:w="1135" w:type="pct"/>
            <w:hideMark/>
          </w:tcPr>
          <w:p w14:paraId="5C633632"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Phishing anxiety influences coping adaptiveness (task-focused coping, emotion-focused coping, and avoidance)</w:t>
            </w:r>
          </w:p>
        </w:tc>
        <w:tc>
          <w:tcPr>
            <w:tcW w:w="1305" w:type="pct"/>
            <w:hideMark/>
          </w:tcPr>
          <w:p w14:paraId="652302E4"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Phishing detection accuracy </w:t>
            </w:r>
          </w:p>
        </w:tc>
      </w:tr>
      <w:tr w:rsidR="003E5B95" w:rsidRPr="00D44A44" w14:paraId="07C0D944" w14:textId="77777777" w:rsidTr="003E5B95">
        <w:trPr>
          <w:cnfStyle w:val="000000100000" w:firstRow="0" w:lastRow="0" w:firstColumn="0" w:lastColumn="0" w:oddVBand="0" w:evenVBand="0" w:oddHBand="1" w:evenHBand="0" w:firstRowFirstColumn="0" w:firstRowLastColumn="0" w:lastRowFirstColumn="0" w:lastRowLastColumn="0"/>
          <w:trHeight w:val="98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34F495DB"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Wang et al. (2020)</w:t>
            </w:r>
          </w:p>
        </w:tc>
        <w:tc>
          <w:tcPr>
            <w:tcW w:w="893" w:type="pct"/>
            <w:tcBorders>
              <w:left w:val="single" w:sz="4" w:space="0" w:color="auto"/>
            </w:tcBorders>
            <w:hideMark/>
          </w:tcPr>
          <w:p w14:paraId="2625B47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Technology enhanced learning (TEL) environment</w:t>
            </w:r>
          </w:p>
        </w:tc>
        <w:tc>
          <w:tcPr>
            <w:tcW w:w="905" w:type="pct"/>
            <w:hideMark/>
          </w:tcPr>
          <w:p w14:paraId="0F8A3FFC"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Person-organization (P-O) misfit of technostress, person-TEL misfit of technostress, and person-people (P-P) misfit of technostress</w:t>
            </w:r>
          </w:p>
        </w:tc>
        <w:tc>
          <w:tcPr>
            <w:tcW w:w="1135" w:type="pct"/>
            <w:hideMark/>
          </w:tcPr>
          <w:p w14:paraId="45C563D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Burnout</w:t>
            </w:r>
          </w:p>
        </w:tc>
        <w:tc>
          <w:tcPr>
            <w:tcW w:w="1305" w:type="pct"/>
            <w:hideMark/>
          </w:tcPr>
          <w:p w14:paraId="4093F8E9"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Perceived performance defined as students’ perceptions of how technology enhanced learning (TEL) facilitates their academic performance </w:t>
            </w:r>
          </w:p>
        </w:tc>
      </w:tr>
      <w:tr w:rsidR="003E5B95" w:rsidRPr="00D44A44" w14:paraId="50BD09B6" w14:textId="77777777" w:rsidTr="003E5B95">
        <w:trPr>
          <w:trHeight w:val="936"/>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0C5BB849"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Wastell (1999)</w:t>
            </w:r>
          </w:p>
        </w:tc>
        <w:tc>
          <w:tcPr>
            <w:tcW w:w="893" w:type="pct"/>
            <w:tcBorders>
              <w:left w:val="single" w:sz="4" w:space="0" w:color="auto"/>
            </w:tcBorders>
            <w:hideMark/>
          </w:tcPr>
          <w:p w14:paraId="35B96CF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IS development process which is inherently stressful in nature.</w:t>
            </w:r>
          </w:p>
        </w:tc>
        <w:tc>
          <w:tcPr>
            <w:tcW w:w="905" w:type="pct"/>
            <w:hideMark/>
          </w:tcPr>
          <w:p w14:paraId="2594F14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5DFA0710"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Stress, anxiety</w:t>
            </w:r>
          </w:p>
        </w:tc>
        <w:tc>
          <w:tcPr>
            <w:tcW w:w="1305" w:type="pct"/>
            <w:hideMark/>
          </w:tcPr>
          <w:p w14:paraId="5BEDE6D3"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NA</w:t>
            </w:r>
          </w:p>
        </w:tc>
      </w:tr>
      <w:tr w:rsidR="003E5B95" w:rsidRPr="00D44A44" w14:paraId="17815132" w14:textId="77777777" w:rsidTr="00DF56B1">
        <w:trPr>
          <w:cnfStyle w:val="000000100000" w:firstRow="0" w:lastRow="0" w:firstColumn="0" w:lastColumn="0" w:oddVBand="0" w:evenVBand="0" w:oddHBand="1" w:evenHBand="0" w:firstRowFirstColumn="0" w:firstRowLastColumn="0" w:lastRowFirstColumn="0" w:lastRowLastColumn="0"/>
          <w:trHeight w:val="639"/>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7F2A7BE1"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Weiss (1983)</w:t>
            </w:r>
          </w:p>
        </w:tc>
        <w:tc>
          <w:tcPr>
            <w:tcW w:w="893" w:type="pct"/>
            <w:tcBorders>
              <w:left w:val="single" w:sz="4" w:space="0" w:color="auto"/>
            </w:tcBorders>
            <w:hideMark/>
          </w:tcPr>
          <w:p w14:paraId="1BDF751B"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Organizational stressors- Overload, role ambiguity, role conflict, responsibility for people, participation, </w:t>
            </w:r>
            <w:r w:rsidRPr="00D44A44">
              <w:rPr>
                <w:rFonts w:eastAsia="Times New Roman" w:cs="Times New Roman"/>
                <w:szCs w:val="24"/>
              </w:rPr>
              <w:lastRenderedPageBreak/>
              <w:t>lack of feedback, keeping up with rapid technology change, being in an innovative role, career development, organizational structure and climate, recent episodic event</w:t>
            </w:r>
          </w:p>
        </w:tc>
        <w:tc>
          <w:tcPr>
            <w:tcW w:w="905" w:type="pct"/>
            <w:hideMark/>
          </w:tcPr>
          <w:p w14:paraId="669C44C7"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NA</w:t>
            </w:r>
          </w:p>
        </w:tc>
        <w:tc>
          <w:tcPr>
            <w:tcW w:w="1135" w:type="pct"/>
            <w:hideMark/>
          </w:tcPr>
          <w:p w14:paraId="14077A6F"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Job dissatisfaction and psychological and physiological symptoms of strain (e.g. let things aside, feel restless and </w:t>
            </w:r>
            <w:r w:rsidRPr="00D44A44">
              <w:rPr>
                <w:rFonts w:eastAsia="Times New Roman" w:cs="Times New Roman"/>
                <w:szCs w:val="24"/>
              </w:rPr>
              <w:lastRenderedPageBreak/>
              <w:t>unable to concentrate, feel irritable, become less communicative, eat too much, feel tense, uptight, fidgety, nervous, increased sexual desire, feel tired, low energy, excessive fatigue, misdirected anger)</w:t>
            </w:r>
          </w:p>
        </w:tc>
        <w:tc>
          <w:tcPr>
            <w:tcW w:w="1305" w:type="pct"/>
            <w:hideMark/>
          </w:tcPr>
          <w:p w14:paraId="7DF0BCA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lastRenderedPageBreak/>
              <w:t>Illness (conceptually shown in the model but not tested)</w:t>
            </w:r>
          </w:p>
        </w:tc>
      </w:tr>
      <w:tr w:rsidR="003E5B95" w:rsidRPr="00D44A44" w14:paraId="30FBFCD9" w14:textId="77777777" w:rsidTr="003E5B95">
        <w:trPr>
          <w:trHeight w:val="557"/>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5714A36F"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Windeler et al. (2017)</w:t>
            </w:r>
          </w:p>
        </w:tc>
        <w:tc>
          <w:tcPr>
            <w:tcW w:w="893" w:type="pct"/>
            <w:tcBorders>
              <w:left w:val="single" w:sz="4" w:space="0" w:color="auto"/>
            </w:tcBorders>
            <w:hideMark/>
          </w:tcPr>
          <w:p w14:paraId="4DCEC2F9"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Role ambiguity, and role conflict</w:t>
            </w:r>
          </w:p>
        </w:tc>
        <w:tc>
          <w:tcPr>
            <w:tcW w:w="905" w:type="pct"/>
            <w:hideMark/>
          </w:tcPr>
          <w:p w14:paraId="101AA8A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69C481C7"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Developer stress</w:t>
            </w:r>
          </w:p>
        </w:tc>
        <w:tc>
          <w:tcPr>
            <w:tcW w:w="1305" w:type="pct"/>
            <w:hideMark/>
          </w:tcPr>
          <w:p w14:paraId="32B3A635"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Team performance </w:t>
            </w:r>
          </w:p>
        </w:tc>
      </w:tr>
      <w:tr w:rsidR="003E5B95" w:rsidRPr="00D44A44" w14:paraId="30BE015C" w14:textId="77777777" w:rsidTr="003E5B95">
        <w:trPr>
          <w:cnfStyle w:val="000000100000" w:firstRow="0" w:lastRow="0" w:firstColumn="0" w:lastColumn="0" w:oddVBand="0" w:evenVBand="0" w:oddHBand="1" w:evenHBand="0" w:firstRowFirstColumn="0" w:firstRowLastColumn="0" w:lastRowFirstColumn="0" w:lastRowLastColumn="0"/>
          <w:trHeight w:val="980"/>
        </w:trPr>
        <w:tc>
          <w:tcPr>
            <w:cnfStyle w:val="001000000000" w:firstRow="0" w:lastRow="0" w:firstColumn="1" w:lastColumn="0" w:oddVBand="0" w:evenVBand="0" w:oddHBand="0" w:evenHBand="0" w:firstRowFirstColumn="0" w:firstRowLastColumn="0" w:lastRowFirstColumn="0" w:lastRowLastColumn="0"/>
            <w:tcW w:w="762" w:type="pct"/>
            <w:tcBorders>
              <w:right w:val="single" w:sz="4" w:space="0" w:color="auto"/>
            </w:tcBorders>
            <w:hideMark/>
          </w:tcPr>
          <w:p w14:paraId="4E1FD025"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Yu et al. (2018)</w:t>
            </w:r>
          </w:p>
        </w:tc>
        <w:tc>
          <w:tcPr>
            <w:tcW w:w="893" w:type="pct"/>
            <w:tcBorders>
              <w:left w:val="single" w:sz="4" w:space="0" w:color="auto"/>
            </w:tcBorders>
            <w:hideMark/>
          </w:tcPr>
          <w:p w14:paraId="358107F0"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Three dimensions of overload as information overload, communication overload, and social overload</w:t>
            </w:r>
          </w:p>
        </w:tc>
        <w:tc>
          <w:tcPr>
            <w:tcW w:w="905" w:type="pct"/>
            <w:hideMark/>
          </w:tcPr>
          <w:p w14:paraId="321A5CA1"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NA</w:t>
            </w:r>
          </w:p>
        </w:tc>
        <w:tc>
          <w:tcPr>
            <w:tcW w:w="1135" w:type="pct"/>
            <w:hideMark/>
          </w:tcPr>
          <w:p w14:paraId="3860492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Social media exhaustion</w:t>
            </w:r>
          </w:p>
        </w:tc>
        <w:tc>
          <w:tcPr>
            <w:tcW w:w="1305" w:type="pct"/>
            <w:hideMark/>
          </w:tcPr>
          <w:p w14:paraId="60E4487E" w14:textId="77777777" w:rsidR="003E5B95" w:rsidRPr="00D44A44" w:rsidRDefault="003E5B95" w:rsidP="003E5B95">
            <w:pPr>
              <w:spacing w:line="240" w:lineRule="auto"/>
              <w:ind w:firstLine="0"/>
              <w:cnfStyle w:val="000000100000" w:firstRow="0" w:lastRow="0" w:firstColumn="0" w:lastColumn="0" w:oddVBand="0" w:evenVBand="0" w:oddHBand="1" w:evenHBand="0" w:firstRowFirstColumn="0" w:firstRowLastColumn="0" w:lastRowFirstColumn="0" w:lastRowLastColumn="0"/>
              <w:rPr>
                <w:rFonts w:eastAsia="Times New Roman" w:cs="Times New Roman"/>
                <w:szCs w:val="24"/>
              </w:rPr>
            </w:pPr>
            <w:r w:rsidRPr="00D44A44">
              <w:rPr>
                <w:rFonts w:eastAsia="Times New Roman" w:cs="Times New Roman"/>
                <w:szCs w:val="24"/>
              </w:rPr>
              <w:t>Job performance</w:t>
            </w:r>
          </w:p>
        </w:tc>
      </w:tr>
      <w:tr w:rsidR="003E5B95" w:rsidRPr="00D44A44" w14:paraId="730CCFE5" w14:textId="77777777" w:rsidTr="003E5B95">
        <w:trPr>
          <w:trHeight w:val="1070"/>
        </w:trPr>
        <w:tc>
          <w:tcPr>
            <w:cnfStyle w:val="001000000000" w:firstRow="0" w:lastRow="0" w:firstColumn="1" w:lastColumn="0" w:oddVBand="0" w:evenVBand="0" w:oddHBand="0" w:evenHBand="0" w:firstRowFirstColumn="0" w:firstRowLastColumn="0" w:lastRowFirstColumn="0" w:lastRowLastColumn="0"/>
            <w:tcW w:w="762" w:type="pct"/>
            <w:tcBorders>
              <w:bottom w:val="single" w:sz="4" w:space="0" w:color="auto"/>
              <w:right w:val="single" w:sz="4" w:space="0" w:color="auto"/>
            </w:tcBorders>
            <w:hideMark/>
          </w:tcPr>
          <w:p w14:paraId="0446FC5E" w14:textId="77777777" w:rsidR="003E5B95" w:rsidRPr="00D44A44" w:rsidRDefault="003E5B95" w:rsidP="003E5B95">
            <w:pPr>
              <w:spacing w:line="240" w:lineRule="auto"/>
              <w:ind w:firstLine="0"/>
              <w:rPr>
                <w:rFonts w:eastAsia="Times New Roman" w:cs="Times New Roman"/>
                <w:b w:val="0"/>
                <w:bCs w:val="0"/>
                <w:szCs w:val="24"/>
              </w:rPr>
            </w:pPr>
            <w:r w:rsidRPr="00D44A44">
              <w:rPr>
                <w:rFonts w:eastAsia="Times New Roman" w:cs="Times New Roman"/>
                <w:b w:val="0"/>
                <w:bCs w:val="0"/>
                <w:noProof/>
                <w:szCs w:val="24"/>
              </w:rPr>
              <w:t>Zhao et al. (2020)</w:t>
            </w:r>
          </w:p>
        </w:tc>
        <w:tc>
          <w:tcPr>
            <w:tcW w:w="893" w:type="pct"/>
            <w:tcBorders>
              <w:left w:val="single" w:sz="4" w:space="0" w:color="auto"/>
              <w:bottom w:val="single" w:sz="4" w:space="0" w:color="auto"/>
            </w:tcBorders>
            <w:hideMark/>
          </w:tcPr>
          <w:p w14:paraId="324C62BD"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Techno-overload, techno-invasion, techno-complexity, techno-uncertainty, techno-insecurity</w:t>
            </w:r>
          </w:p>
        </w:tc>
        <w:tc>
          <w:tcPr>
            <w:tcW w:w="905" w:type="pct"/>
            <w:tcBorders>
              <w:bottom w:val="single" w:sz="4" w:space="0" w:color="auto"/>
            </w:tcBorders>
            <w:hideMark/>
          </w:tcPr>
          <w:p w14:paraId="3774B62A"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 xml:space="preserve">Challenge appraisal and hindrance appraisal </w:t>
            </w:r>
          </w:p>
        </w:tc>
        <w:tc>
          <w:tcPr>
            <w:tcW w:w="1135" w:type="pct"/>
            <w:tcBorders>
              <w:bottom w:val="single" w:sz="4" w:space="0" w:color="auto"/>
            </w:tcBorders>
            <w:hideMark/>
          </w:tcPr>
          <w:p w14:paraId="137D4A5E"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Problem-focused and emotion-focused coping response</w:t>
            </w:r>
          </w:p>
        </w:tc>
        <w:tc>
          <w:tcPr>
            <w:tcW w:w="1305" w:type="pct"/>
            <w:tcBorders>
              <w:bottom w:val="single" w:sz="4" w:space="0" w:color="auto"/>
            </w:tcBorders>
            <w:hideMark/>
          </w:tcPr>
          <w:p w14:paraId="489ABB36" w14:textId="77777777" w:rsidR="003E5B95" w:rsidRPr="00D44A44" w:rsidRDefault="003E5B95" w:rsidP="003E5B95">
            <w:pPr>
              <w:spacing w:line="240" w:lineRule="auto"/>
              <w:ind w:firstLine="0"/>
              <w:cnfStyle w:val="000000000000" w:firstRow="0" w:lastRow="0" w:firstColumn="0" w:lastColumn="0" w:oddVBand="0" w:evenVBand="0" w:oddHBand="0" w:evenHBand="0" w:firstRowFirstColumn="0" w:firstRowLastColumn="0" w:lastRowFirstColumn="0" w:lastRowLastColumn="0"/>
              <w:rPr>
                <w:rFonts w:eastAsia="Times New Roman" w:cs="Times New Roman"/>
                <w:szCs w:val="24"/>
              </w:rPr>
            </w:pPr>
            <w:r w:rsidRPr="00D44A44">
              <w:rPr>
                <w:rFonts w:eastAsia="Times New Roman" w:cs="Times New Roman"/>
                <w:szCs w:val="24"/>
              </w:rPr>
              <w:t>ICT enabled productivity</w:t>
            </w:r>
          </w:p>
        </w:tc>
      </w:tr>
    </w:tbl>
    <w:p w14:paraId="4D9076C2" w14:textId="4AC36741" w:rsidR="003E5B95" w:rsidRPr="00803720" w:rsidRDefault="003E5B95" w:rsidP="003E5B95">
      <w:pPr>
        <w:spacing w:line="240" w:lineRule="auto"/>
        <w:ind w:firstLine="0"/>
        <w:rPr>
          <w:rFonts w:eastAsia="Times New Roman" w:cs="Times New Roman"/>
          <w:color w:val="000000"/>
          <w:szCs w:val="24"/>
        </w:rPr>
      </w:pPr>
      <w:r w:rsidRPr="00803720">
        <w:rPr>
          <w:rFonts w:eastAsia="Times New Roman" w:cs="Times New Roman"/>
          <w:color w:val="000000"/>
          <w:szCs w:val="24"/>
        </w:rPr>
        <w:t>Not applicable (NA); *SRS Overload stressors: 1) security tools that promote sequential instead of agile workflow, 2) lack of time and resources to work.**SRS Complexity stressors: 1) Mismatch of instruction used in the security risk management tool documentation, the organization, and security tools, 2) overly comprehensive information security risk management documentation. ***SRS Uncertainty stressors: 1) external security requirements in terms of laws and regulations, 2) lack of tool functionalities, and 3) mismatch between assumed work practices, security risk management tool documentation (e.g. policies and procedures), and use of tools; articles in italics are related with information security research; italicized articles are from information security literature</w:t>
      </w:r>
      <w:r w:rsidR="00803720">
        <w:rPr>
          <w:rFonts w:eastAsia="Times New Roman" w:cs="Times New Roman"/>
          <w:color w:val="000000"/>
          <w:szCs w:val="24"/>
        </w:rPr>
        <w:t>; review articles are excluded from this coding</w:t>
      </w:r>
    </w:p>
    <w:p w14:paraId="2905A865" w14:textId="77777777" w:rsidR="003E5B95" w:rsidRPr="00BD727C" w:rsidRDefault="003E5B95" w:rsidP="003E5B95">
      <w:pPr>
        <w:spacing w:line="240" w:lineRule="auto"/>
        <w:ind w:firstLine="0"/>
        <w:rPr>
          <w:rFonts w:eastAsia="Times New Roman" w:cs="Times New Roman"/>
          <w:color w:val="000000"/>
          <w:sz w:val="20"/>
        </w:rPr>
      </w:pPr>
    </w:p>
    <w:p w14:paraId="4859A8F2" w14:textId="77777777" w:rsidR="003E5B95" w:rsidRDefault="003E5B95" w:rsidP="003E5B95">
      <w:pPr>
        <w:pStyle w:val="Heading2"/>
      </w:pPr>
      <w:bookmarkStart w:id="169" w:name="_Toc74087522"/>
      <w:bookmarkStart w:id="170" w:name="_Toc74258638"/>
      <w:r>
        <w:lastRenderedPageBreak/>
        <w:t>References for Appendix C</w:t>
      </w:r>
      <w:bookmarkEnd w:id="169"/>
      <w:bookmarkEnd w:id="170"/>
    </w:p>
    <w:p w14:paraId="32B31E90" w14:textId="4549E318" w:rsidR="003E5B95" w:rsidRPr="0001200D" w:rsidRDefault="003E5B95" w:rsidP="003E5B95">
      <w:pPr>
        <w:pStyle w:val="EndNoteBibliography"/>
        <w:spacing w:after="240"/>
        <w:ind w:left="720" w:hanging="720"/>
      </w:pPr>
      <w:r w:rsidRPr="0001200D">
        <w:t xml:space="preserve">Aghaz, A., &amp; Sheikh, A. (2016). Cyberloafing and job burnout: An investigation in the knowledge-intensive sector. </w:t>
      </w:r>
      <w:r w:rsidRPr="0001200D">
        <w:rPr>
          <w:i/>
        </w:rPr>
        <w:t>Computers in Human Behavior</w:t>
      </w:r>
      <w:r w:rsidRPr="0001200D">
        <w:t>,</w:t>
      </w:r>
      <w:r w:rsidRPr="0001200D">
        <w:rPr>
          <w:i/>
        </w:rPr>
        <w:t xml:space="preserve"> 62</w:t>
      </w:r>
      <w:r w:rsidRPr="0001200D">
        <w:t xml:space="preserve">, 51-60. </w:t>
      </w:r>
      <w:r w:rsidRPr="003E5B95">
        <w:t>https://doi.org/10.1016/j.chb.2016.03.069</w:t>
      </w:r>
      <w:r w:rsidRPr="0001200D">
        <w:t xml:space="preserve"> </w:t>
      </w:r>
    </w:p>
    <w:p w14:paraId="1CA83B34" w14:textId="77777777" w:rsidR="003E5B95" w:rsidRPr="0001200D" w:rsidRDefault="003E5B95" w:rsidP="003E5B95">
      <w:pPr>
        <w:pStyle w:val="EndNoteBibliography"/>
        <w:spacing w:after="240"/>
        <w:ind w:left="720" w:hanging="720"/>
      </w:pPr>
      <w:r w:rsidRPr="0001200D">
        <w:t xml:space="preserve">Ahuja, M. K., Chudoba, K. M., Kacmar, C. J., McKnight, D. H., &amp; George, J. F. (2007). IT road warriors: Balancing work-family conflict, job autonomy, and work overload to mitigate turnover intentions. </w:t>
      </w:r>
      <w:r w:rsidRPr="0001200D">
        <w:rPr>
          <w:i/>
        </w:rPr>
        <w:t>MIS Quarterly</w:t>
      </w:r>
      <w:r w:rsidRPr="0001200D">
        <w:t>,</w:t>
      </w:r>
      <w:r w:rsidRPr="0001200D">
        <w:rPr>
          <w:i/>
        </w:rPr>
        <w:t xml:space="preserve"> 31</w:t>
      </w:r>
      <w:r w:rsidRPr="0001200D">
        <w:t xml:space="preserve">(1), 1-17. </w:t>
      </w:r>
    </w:p>
    <w:p w14:paraId="7CF3F8E7" w14:textId="77777777" w:rsidR="003E5B95" w:rsidRPr="0001200D" w:rsidRDefault="003E5B95" w:rsidP="003E5B95">
      <w:pPr>
        <w:pStyle w:val="EndNoteBibliography"/>
        <w:spacing w:after="240"/>
        <w:ind w:left="720" w:hanging="720"/>
      </w:pPr>
      <w:r w:rsidRPr="0001200D">
        <w:t xml:space="preserve">Allen, M. W., Armstrong, D. J., Reid, M. F., &amp; Riemenschneider, C. K. (2008). Factors impacting the perceived organizational support of IT employees. </w:t>
      </w:r>
      <w:r w:rsidRPr="0001200D">
        <w:rPr>
          <w:i/>
        </w:rPr>
        <w:t>Information &amp; Management</w:t>
      </w:r>
      <w:r w:rsidRPr="0001200D">
        <w:t>,</w:t>
      </w:r>
      <w:r w:rsidRPr="0001200D">
        <w:rPr>
          <w:i/>
        </w:rPr>
        <w:t xml:space="preserve"> 45</w:t>
      </w:r>
      <w:r w:rsidRPr="0001200D">
        <w:t xml:space="preserve">(8), 556-563. </w:t>
      </w:r>
    </w:p>
    <w:p w14:paraId="36A0ACE8" w14:textId="77777777" w:rsidR="003E5B95" w:rsidRPr="0001200D" w:rsidRDefault="003E5B95" w:rsidP="003E5B95">
      <w:pPr>
        <w:pStyle w:val="EndNoteBibliography"/>
        <w:spacing w:after="240"/>
        <w:ind w:left="720" w:hanging="720"/>
      </w:pPr>
      <w:r w:rsidRPr="0001200D">
        <w:t xml:space="preserve">Ament, C., &amp; Haag, S. (2016). </w:t>
      </w:r>
      <w:r w:rsidRPr="0001200D">
        <w:rPr>
          <w:i/>
        </w:rPr>
        <w:t>How information security equirements stress employees</w:t>
      </w:r>
      <w:r w:rsidRPr="0001200D">
        <w:t xml:space="preserve"> Proceedings of International Conference on Information Systems (ICIS), Dublin, Ireland. </w:t>
      </w:r>
    </w:p>
    <w:p w14:paraId="4D1604D7" w14:textId="77777777" w:rsidR="003E5B95" w:rsidRPr="0001200D" w:rsidRDefault="003E5B95" w:rsidP="003E5B95">
      <w:pPr>
        <w:pStyle w:val="EndNoteBibliography"/>
        <w:spacing w:after="240"/>
        <w:ind w:left="720" w:hanging="720"/>
      </w:pPr>
      <w:r w:rsidRPr="0001200D">
        <w:t xml:space="preserve">Ann Sykes, T. (2015). Support structures and their impacts on employee outcomes: A longitudinal field study of an enterprise system implementation. </w:t>
      </w:r>
      <w:r w:rsidRPr="0001200D">
        <w:rPr>
          <w:i/>
        </w:rPr>
        <w:t>MIS Quarterly</w:t>
      </w:r>
      <w:r w:rsidRPr="0001200D">
        <w:t>,</w:t>
      </w:r>
      <w:r w:rsidRPr="0001200D">
        <w:rPr>
          <w:i/>
        </w:rPr>
        <w:t xml:space="preserve"> 39</w:t>
      </w:r>
      <w:r w:rsidRPr="0001200D">
        <w:t xml:space="preserve">(2), 473-495. </w:t>
      </w:r>
    </w:p>
    <w:p w14:paraId="60C48DA9" w14:textId="2D6539BE" w:rsidR="003E5B95" w:rsidRPr="0001200D" w:rsidRDefault="003E5B95" w:rsidP="003E5B95">
      <w:pPr>
        <w:pStyle w:val="EndNoteBibliography"/>
        <w:spacing w:after="240"/>
        <w:ind w:left="720" w:hanging="720"/>
      </w:pPr>
      <w:r w:rsidRPr="0001200D">
        <w:t xml:space="preserve">Armstrong, D., Riemenschneider, C., Buche, M. W., &amp; Armstrong, K. R. (2018). Mitigating turnover intentions: Are all IT workers warriors. </w:t>
      </w:r>
      <w:r w:rsidRPr="0001200D">
        <w:rPr>
          <w:i/>
        </w:rPr>
        <w:t>AIS Transactions on Replication Research</w:t>
      </w:r>
      <w:r w:rsidRPr="0001200D">
        <w:t>,</w:t>
      </w:r>
      <w:r w:rsidRPr="0001200D">
        <w:rPr>
          <w:i/>
        </w:rPr>
        <w:t xml:space="preserve"> 4</w:t>
      </w:r>
      <w:r w:rsidRPr="0001200D">
        <w:t>(1), 1</w:t>
      </w:r>
      <w:r w:rsidR="00803720">
        <w:t>-20</w:t>
      </w:r>
      <w:r w:rsidRPr="0001200D">
        <w:t xml:space="preserve">. </w:t>
      </w:r>
    </w:p>
    <w:p w14:paraId="6F7B7943" w14:textId="77777777" w:rsidR="003E5B95" w:rsidRPr="0001200D" w:rsidRDefault="003E5B95" w:rsidP="003E5B95">
      <w:pPr>
        <w:pStyle w:val="EndNoteBibliography"/>
        <w:spacing w:after="240"/>
        <w:ind w:left="720" w:hanging="720"/>
      </w:pPr>
      <w:r w:rsidRPr="0001200D">
        <w:t xml:space="preserve">Armstrong, D. J., Brooks, N. G., &amp; Riemenschneider, C. K. (2015). Exhaustion from information system career experience: Implications for turn-away intention. </w:t>
      </w:r>
      <w:r w:rsidRPr="0001200D">
        <w:rPr>
          <w:i/>
        </w:rPr>
        <w:t>MIS Quarterly</w:t>
      </w:r>
      <w:r w:rsidRPr="0001200D">
        <w:t>,</w:t>
      </w:r>
      <w:r w:rsidRPr="0001200D">
        <w:rPr>
          <w:i/>
        </w:rPr>
        <w:t xml:space="preserve"> 39</w:t>
      </w:r>
      <w:r w:rsidRPr="0001200D">
        <w:t xml:space="preserve">(3), 713-728. </w:t>
      </w:r>
    </w:p>
    <w:p w14:paraId="6EE7FC9E" w14:textId="77777777" w:rsidR="003E5B95" w:rsidRPr="0001200D" w:rsidRDefault="003E5B95" w:rsidP="003E5B95">
      <w:pPr>
        <w:pStyle w:val="EndNoteBibliography"/>
        <w:spacing w:after="240"/>
        <w:ind w:left="720" w:hanging="720"/>
      </w:pPr>
      <w:r w:rsidRPr="0001200D">
        <w:t xml:space="preserve">Armstrong, D. J., Riemenschneider, C. K., Allen, M. W., &amp; Reid, M. F. (2007). Advancement, voluntary turnover and women in IT: A cognitive study of work–family conflict. </w:t>
      </w:r>
      <w:r w:rsidRPr="0001200D">
        <w:rPr>
          <w:i/>
        </w:rPr>
        <w:t>Information &amp; Management</w:t>
      </w:r>
      <w:r w:rsidRPr="0001200D">
        <w:t>,</w:t>
      </w:r>
      <w:r w:rsidRPr="0001200D">
        <w:rPr>
          <w:i/>
        </w:rPr>
        <w:t xml:space="preserve"> 44</w:t>
      </w:r>
      <w:r w:rsidRPr="0001200D">
        <w:t xml:space="preserve">(2), 142-153. </w:t>
      </w:r>
    </w:p>
    <w:p w14:paraId="54D32E36" w14:textId="77777777" w:rsidR="003E5B95" w:rsidRPr="0001200D" w:rsidRDefault="003E5B95" w:rsidP="003E5B95">
      <w:pPr>
        <w:pStyle w:val="EndNoteBibliography"/>
        <w:spacing w:after="240"/>
        <w:ind w:left="720" w:hanging="720"/>
      </w:pPr>
      <w:r w:rsidRPr="0001200D">
        <w:t xml:space="preserve">Ayyagari, R., Grover, V., &amp; Purvis, R. (2011). Technostress: technological antecedents and implications. </w:t>
      </w:r>
      <w:r w:rsidRPr="0001200D">
        <w:rPr>
          <w:i/>
        </w:rPr>
        <w:t>MIS Quarterly</w:t>
      </w:r>
      <w:r w:rsidRPr="0001200D">
        <w:t>,</w:t>
      </w:r>
      <w:r w:rsidRPr="0001200D">
        <w:rPr>
          <w:i/>
        </w:rPr>
        <w:t xml:space="preserve"> 35</w:t>
      </w:r>
      <w:r w:rsidRPr="0001200D">
        <w:t xml:space="preserve">(4), 831-858. </w:t>
      </w:r>
    </w:p>
    <w:p w14:paraId="44A0AE5A" w14:textId="572764F5" w:rsidR="003E5B95" w:rsidRPr="0001200D" w:rsidRDefault="003E5B95" w:rsidP="003E5B95">
      <w:pPr>
        <w:pStyle w:val="EndNoteBibliography"/>
        <w:spacing w:after="240"/>
        <w:ind w:left="720" w:hanging="720"/>
      </w:pPr>
      <w:r w:rsidRPr="0001200D">
        <w:t xml:space="preserve">Beaudry, A., &amp; Pinsonneault, A. (2005). Understanding User Responses to Information Technology: A Coping Model of User Adaptation. </w:t>
      </w:r>
      <w:r w:rsidRPr="0001200D">
        <w:rPr>
          <w:i/>
        </w:rPr>
        <w:t>MIS Quarterly</w:t>
      </w:r>
      <w:r w:rsidRPr="0001200D">
        <w:t>,</w:t>
      </w:r>
      <w:r w:rsidRPr="0001200D">
        <w:rPr>
          <w:i/>
        </w:rPr>
        <w:t xml:space="preserve"> 29</w:t>
      </w:r>
      <w:r w:rsidRPr="0001200D">
        <w:t xml:space="preserve">(3), 493-524. </w:t>
      </w:r>
      <w:r w:rsidRPr="003E5B95">
        <w:t>https://doi.org/10.2307/25148693</w:t>
      </w:r>
      <w:r w:rsidRPr="0001200D">
        <w:t xml:space="preserve"> </w:t>
      </w:r>
    </w:p>
    <w:p w14:paraId="634D7947" w14:textId="77777777" w:rsidR="003E5B95" w:rsidRPr="0001200D" w:rsidRDefault="003E5B95" w:rsidP="003E5B95">
      <w:pPr>
        <w:pStyle w:val="EndNoteBibliography"/>
        <w:spacing w:after="240"/>
        <w:ind w:left="720" w:hanging="720"/>
      </w:pPr>
      <w:r w:rsidRPr="0001200D">
        <w:t xml:space="preserve">Beaudry, A., &amp; Pinsonneault, A. (2010). The other side of acceptance: studying the direct and indirect effects of emotions on information technology use. </w:t>
      </w:r>
      <w:r w:rsidRPr="0001200D">
        <w:rPr>
          <w:i/>
        </w:rPr>
        <w:t>MIS Quarterly</w:t>
      </w:r>
      <w:r w:rsidRPr="0001200D">
        <w:t xml:space="preserve">, 689-710. </w:t>
      </w:r>
    </w:p>
    <w:p w14:paraId="2E3276AE" w14:textId="1B6D29E7" w:rsidR="003E5B95" w:rsidRPr="0001200D" w:rsidRDefault="003E5B95" w:rsidP="003E5B95">
      <w:pPr>
        <w:pStyle w:val="EndNoteBibliography"/>
        <w:spacing w:after="240"/>
        <w:ind w:left="720" w:hanging="720"/>
      </w:pPr>
      <w:r w:rsidRPr="0001200D">
        <w:t xml:space="preserve">Benamati, J., Lederer, A. L., &amp; Singh, M. (1997). Changing information technology and information technology management. </w:t>
      </w:r>
      <w:r w:rsidRPr="0001200D">
        <w:rPr>
          <w:i/>
        </w:rPr>
        <w:t>Information &amp; Management</w:t>
      </w:r>
      <w:r w:rsidRPr="0001200D">
        <w:t>,</w:t>
      </w:r>
      <w:r w:rsidRPr="0001200D">
        <w:rPr>
          <w:i/>
        </w:rPr>
        <w:t xml:space="preserve"> 31</w:t>
      </w:r>
      <w:r w:rsidRPr="0001200D">
        <w:t>(5), 275</w:t>
      </w:r>
      <w:r w:rsidR="00803720">
        <w:t>-288</w:t>
      </w:r>
      <w:r w:rsidRPr="0001200D">
        <w:t xml:space="preserve">. </w:t>
      </w:r>
      <w:r w:rsidRPr="003E5B95">
        <w:t>https://doi.org/10.1016/S0378-7206(96)01091-9</w:t>
      </w:r>
      <w:r w:rsidRPr="0001200D">
        <w:t xml:space="preserve"> </w:t>
      </w:r>
    </w:p>
    <w:p w14:paraId="60FFBB8A" w14:textId="2D3D7ED2" w:rsidR="003E5B95" w:rsidRPr="0001200D" w:rsidRDefault="003E5B95" w:rsidP="003E5B95">
      <w:pPr>
        <w:pStyle w:val="EndNoteBibliography"/>
        <w:spacing w:after="240"/>
        <w:ind w:left="720" w:hanging="720"/>
      </w:pPr>
      <w:r w:rsidRPr="0001200D">
        <w:lastRenderedPageBreak/>
        <w:t xml:space="preserve">Bhattacherjee, A., Davis, C. J., Connolly, A. J., &amp; Hikmet, N. (2018). User response to mandatory IT use: a coping theory perspective. </w:t>
      </w:r>
      <w:r w:rsidRPr="0001200D">
        <w:rPr>
          <w:i/>
        </w:rPr>
        <w:t>European Journal of Information Systems</w:t>
      </w:r>
      <w:r w:rsidRPr="0001200D">
        <w:t>,</w:t>
      </w:r>
      <w:r w:rsidRPr="0001200D">
        <w:rPr>
          <w:i/>
        </w:rPr>
        <w:t xml:space="preserve"> 27</w:t>
      </w:r>
      <w:r w:rsidRPr="0001200D">
        <w:t xml:space="preserve">(4), 395-414. </w:t>
      </w:r>
      <w:r w:rsidRPr="003E5B95">
        <w:t>https://doi.org/10.1057/s41303-017-0047-0</w:t>
      </w:r>
      <w:r w:rsidRPr="0001200D">
        <w:t xml:space="preserve"> </w:t>
      </w:r>
    </w:p>
    <w:p w14:paraId="4DCA7E2A" w14:textId="0AD2F9BE" w:rsidR="003E5B95" w:rsidRPr="0001200D" w:rsidRDefault="003E5B95" w:rsidP="003E5B95">
      <w:pPr>
        <w:pStyle w:val="EndNoteBibliography"/>
        <w:spacing w:after="240"/>
        <w:ind w:left="720" w:hanging="720"/>
      </w:pPr>
      <w:r w:rsidRPr="0001200D">
        <w:t xml:space="preserve">Budnick, C. J., Rogers, A. P., &amp; Barber, L. K. (2020). The fear of missing out at work: Examining costs and benefits to employee health and motivation. </w:t>
      </w:r>
      <w:r w:rsidRPr="0001200D">
        <w:rPr>
          <w:i/>
        </w:rPr>
        <w:t>Computers in Human Behavior</w:t>
      </w:r>
      <w:r w:rsidRPr="0001200D">
        <w:t>,</w:t>
      </w:r>
      <w:r w:rsidRPr="0001200D">
        <w:rPr>
          <w:i/>
        </w:rPr>
        <w:t xml:space="preserve"> 104</w:t>
      </w:r>
      <w:r w:rsidRPr="0001200D">
        <w:t xml:space="preserve">, 106161. </w:t>
      </w:r>
      <w:r w:rsidRPr="003E5B95">
        <w:t>https://doi.org/10.1016/j.chb.2019.106161</w:t>
      </w:r>
      <w:r w:rsidRPr="0001200D">
        <w:t xml:space="preserve"> </w:t>
      </w:r>
    </w:p>
    <w:p w14:paraId="6C56F3B6" w14:textId="77777777" w:rsidR="003E5B95" w:rsidRPr="0001200D" w:rsidRDefault="003E5B95" w:rsidP="003E5B95">
      <w:pPr>
        <w:pStyle w:val="EndNoteBibliography"/>
        <w:spacing w:after="240"/>
        <w:ind w:left="720" w:hanging="720"/>
      </w:pPr>
      <w:r w:rsidRPr="0001200D">
        <w:t xml:space="preserve">Califf, C. B., Sarker, S., &amp; Sarker, S. (2020). The Bright and Dark Sides of Technostress: A Mixed-Methods Study Involving Healthcare IT. </w:t>
      </w:r>
      <w:r w:rsidRPr="0001200D">
        <w:rPr>
          <w:i/>
        </w:rPr>
        <w:t>MIS Quarterly</w:t>
      </w:r>
      <w:r w:rsidRPr="0001200D">
        <w:t>,</w:t>
      </w:r>
      <w:r w:rsidRPr="0001200D">
        <w:rPr>
          <w:i/>
        </w:rPr>
        <w:t xml:space="preserve"> 44</w:t>
      </w:r>
      <w:r w:rsidRPr="0001200D">
        <w:t xml:space="preserve">(2), 809-856. </w:t>
      </w:r>
    </w:p>
    <w:p w14:paraId="5ED080E1" w14:textId="77777777" w:rsidR="003E5B95" w:rsidRPr="0001200D" w:rsidRDefault="003E5B95" w:rsidP="003E5B95">
      <w:pPr>
        <w:pStyle w:val="EndNoteBibliography"/>
        <w:spacing w:after="240"/>
        <w:ind w:left="720" w:hanging="720"/>
      </w:pPr>
      <w:r w:rsidRPr="0001200D">
        <w:t xml:space="preserve">Chen, A., &amp; Karahanna, E. (2018). Life interrupted: The effects of technology-mediated work interruptions on work and nonwork outcomes. </w:t>
      </w:r>
      <w:r w:rsidRPr="0001200D">
        <w:rPr>
          <w:i/>
        </w:rPr>
        <w:t>MIS Quarterly</w:t>
      </w:r>
      <w:r w:rsidRPr="0001200D">
        <w:t>,</w:t>
      </w:r>
      <w:r w:rsidRPr="0001200D">
        <w:rPr>
          <w:i/>
        </w:rPr>
        <w:t xml:space="preserve"> 42</w:t>
      </w:r>
      <w:r w:rsidRPr="0001200D">
        <w:t xml:space="preserve">(4), 1023-1042. </w:t>
      </w:r>
    </w:p>
    <w:p w14:paraId="7FED2A00" w14:textId="6A0D84F6" w:rsidR="003E5B95" w:rsidRPr="0001200D" w:rsidRDefault="003E5B95" w:rsidP="003E5B95">
      <w:pPr>
        <w:pStyle w:val="EndNoteBibliography"/>
        <w:spacing w:after="240"/>
        <w:ind w:left="720" w:hanging="720"/>
      </w:pPr>
      <w:r w:rsidRPr="0001200D">
        <w:t xml:space="preserve">Chilton, M. A., Hardgrave, B. C., &amp; Armstrong, D. J. (2005). Person-Job Cognitive Style Fit for Software Developers: The Effect on Strain and Performance. </w:t>
      </w:r>
      <w:r w:rsidRPr="0001200D">
        <w:rPr>
          <w:i/>
        </w:rPr>
        <w:t>Journal of Management Information Systems</w:t>
      </w:r>
      <w:r w:rsidRPr="0001200D">
        <w:t>,</w:t>
      </w:r>
      <w:r w:rsidRPr="0001200D">
        <w:rPr>
          <w:i/>
        </w:rPr>
        <w:t xml:space="preserve"> 22</w:t>
      </w:r>
      <w:r w:rsidRPr="0001200D">
        <w:t xml:space="preserve">(2), 193-226. </w:t>
      </w:r>
      <w:r w:rsidRPr="003E5B95">
        <w:t>https://doi.org/10.1080/07421222.2005.11045849</w:t>
      </w:r>
      <w:r w:rsidRPr="0001200D">
        <w:t xml:space="preserve"> </w:t>
      </w:r>
    </w:p>
    <w:p w14:paraId="48714247" w14:textId="77777777" w:rsidR="003E5B95" w:rsidRPr="0001200D" w:rsidRDefault="003E5B95" w:rsidP="003E5B95">
      <w:pPr>
        <w:pStyle w:val="EndNoteBibliography"/>
        <w:spacing w:after="240"/>
        <w:ind w:left="720" w:hanging="720"/>
      </w:pPr>
      <w:r w:rsidRPr="0001200D">
        <w:t xml:space="preserve">D'Arcy, J., Herath, T., &amp; Shoss, M. K. (2014). Understanding employee responses to stressful information security requirements: A coping perspective. </w:t>
      </w:r>
      <w:r w:rsidRPr="0001200D">
        <w:rPr>
          <w:i/>
        </w:rPr>
        <w:t>Journal of Management Information Systems</w:t>
      </w:r>
      <w:r w:rsidRPr="0001200D">
        <w:t>,</w:t>
      </w:r>
      <w:r w:rsidRPr="0001200D">
        <w:rPr>
          <w:i/>
        </w:rPr>
        <w:t xml:space="preserve"> 31</w:t>
      </w:r>
      <w:r w:rsidRPr="0001200D">
        <w:t xml:space="preserve">(2), 285-318. </w:t>
      </w:r>
    </w:p>
    <w:p w14:paraId="3C08766F" w14:textId="77777777" w:rsidR="003E5B95" w:rsidRPr="0001200D" w:rsidRDefault="003E5B95" w:rsidP="003E5B95">
      <w:pPr>
        <w:pStyle w:val="EndNoteBibliography"/>
        <w:spacing w:after="240"/>
        <w:ind w:left="720" w:hanging="720"/>
      </w:pPr>
      <w:r w:rsidRPr="0001200D">
        <w:t xml:space="preserve">D'Arcy, J., Herath, T., Yim, M.-S., Nam, K., &amp; Rao, H. R. (2018). Employee moral disengagement in response to stressful information security requirements: a methodological replication of a coping-based model. </w:t>
      </w:r>
      <w:r w:rsidRPr="0001200D">
        <w:rPr>
          <w:i/>
        </w:rPr>
        <w:t>AIS Transactions on Replication Research</w:t>
      </w:r>
      <w:r w:rsidRPr="0001200D">
        <w:t>,</w:t>
      </w:r>
      <w:r w:rsidRPr="0001200D">
        <w:rPr>
          <w:i/>
        </w:rPr>
        <w:t xml:space="preserve"> 4</w:t>
      </w:r>
      <w:r w:rsidRPr="0001200D">
        <w:t xml:space="preserve">(1), 1-18. </w:t>
      </w:r>
    </w:p>
    <w:p w14:paraId="2BB45598" w14:textId="77777777" w:rsidR="003E5B95" w:rsidRPr="0001200D" w:rsidRDefault="003E5B95" w:rsidP="003E5B95">
      <w:pPr>
        <w:pStyle w:val="EndNoteBibliography"/>
        <w:spacing w:after="240"/>
        <w:ind w:left="720" w:hanging="720"/>
      </w:pPr>
      <w:r w:rsidRPr="0001200D">
        <w:t xml:space="preserve">D’Arcy, J., &amp; Teh, P.-L. (2019). Predicting employee information security policy compliance on a daily basis: the interplay of security-related stress, emotions, and neutralization. </w:t>
      </w:r>
      <w:r w:rsidRPr="0001200D">
        <w:rPr>
          <w:i/>
        </w:rPr>
        <w:t>Information &amp; Management</w:t>
      </w:r>
      <w:r w:rsidRPr="0001200D">
        <w:t>,</w:t>
      </w:r>
      <w:r w:rsidRPr="0001200D">
        <w:rPr>
          <w:i/>
        </w:rPr>
        <w:t xml:space="preserve"> 56</w:t>
      </w:r>
      <w:r w:rsidRPr="0001200D">
        <w:t xml:space="preserve">(7), 103151. </w:t>
      </w:r>
    </w:p>
    <w:p w14:paraId="404476D2" w14:textId="2D6F78FE" w:rsidR="003E5B95" w:rsidRPr="0001200D" w:rsidRDefault="003E5B95" w:rsidP="003E5B95">
      <w:pPr>
        <w:pStyle w:val="EndNoteBibliography"/>
        <w:spacing w:after="240"/>
        <w:ind w:left="720" w:hanging="720"/>
      </w:pPr>
      <w:r w:rsidRPr="0001200D">
        <w:t xml:space="preserve">Elie-Dit-Cosaque, C. M., &amp; Straub, D. W. (2011). Opening the black box of system usage: user adaptation to disruptive IT. </w:t>
      </w:r>
      <w:r w:rsidRPr="0001200D">
        <w:rPr>
          <w:i/>
        </w:rPr>
        <w:t>European Journal of Information Systems</w:t>
      </w:r>
      <w:r w:rsidRPr="0001200D">
        <w:t>,</w:t>
      </w:r>
      <w:r w:rsidRPr="0001200D">
        <w:rPr>
          <w:i/>
        </w:rPr>
        <w:t xml:space="preserve"> 20</w:t>
      </w:r>
      <w:r w:rsidRPr="0001200D">
        <w:t xml:space="preserve">(5), 589-607. </w:t>
      </w:r>
      <w:r w:rsidRPr="003E5B95">
        <w:t>https://doi.org/10.1057/ejis.2010.23</w:t>
      </w:r>
      <w:r w:rsidRPr="0001200D">
        <w:t xml:space="preserve"> </w:t>
      </w:r>
    </w:p>
    <w:p w14:paraId="1D8F1E86" w14:textId="77777777" w:rsidR="003E5B95" w:rsidRPr="0001200D" w:rsidRDefault="003E5B95" w:rsidP="003E5B95">
      <w:pPr>
        <w:pStyle w:val="EndNoteBibliography"/>
        <w:spacing w:after="240"/>
        <w:ind w:left="720" w:hanging="720"/>
      </w:pPr>
      <w:r w:rsidRPr="0001200D">
        <w:t xml:space="preserve">Fadel, K. J. (2012). User adaptation and infusion of information systems. </w:t>
      </w:r>
      <w:r w:rsidRPr="0001200D">
        <w:rPr>
          <w:i/>
        </w:rPr>
        <w:t>Journal of Computer Information Systems</w:t>
      </w:r>
      <w:r w:rsidRPr="0001200D">
        <w:t>,</w:t>
      </w:r>
      <w:r w:rsidRPr="0001200D">
        <w:rPr>
          <w:i/>
        </w:rPr>
        <w:t xml:space="preserve"> 52</w:t>
      </w:r>
      <w:r w:rsidRPr="0001200D">
        <w:t xml:space="preserve">(3), 1-10. </w:t>
      </w:r>
    </w:p>
    <w:p w14:paraId="1692B20E" w14:textId="77777777" w:rsidR="003E5B95" w:rsidRPr="0001200D" w:rsidRDefault="003E5B95" w:rsidP="003E5B95">
      <w:pPr>
        <w:pStyle w:val="EndNoteBibliography"/>
        <w:spacing w:after="240"/>
        <w:ind w:left="720" w:hanging="720"/>
      </w:pPr>
      <w:r w:rsidRPr="0001200D">
        <w:t xml:space="preserve">Fuglseth, A. M., &amp; Sørebø, Ø. (2014). The effects of technostress within the context of employee use of ICT. </w:t>
      </w:r>
      <w:r w:rsidRPr="0001200D">
        <w:rPr>
          <w:i/>
        </w:rPr>
        <w:t>Computers in Human Behavior</w:t>
      </w:r>
      <w:r w:rsidRPr="0001200D">
        <w:t>,</w:t>
      </w:r>
      <w:r w:rsidRPr="0001200D">
        <w:rPr>
          <w:i/>
        </w:rPr>
        <w:t xml:space="preserve"> 40</w:t>
      </w:r>
      <w:r w:rsidRPr="0001200D">
        <w:t xml:space="preserve">, 161-170. </w:t>
      </w:r>
    </w:p>
    <w:p w14:paraId="14C57F7B" w14:textId="77777777" w:rsidR="003E5B95" w:rsidRPr="0001200D" w:rsidRDefault="003E5B95" w:rsidP="003E5B95">
      <w:pPr>
        <w:pStyle w:val="EndNoteBibliography"/>
        <w:spacing w:after="240"/>
        <w:ind w:left="720" w:hanging="720"/>
      </w:pPr>
      <w:r w:rsidRPr="0001200D">
        <w:t xml:space="preserve">Galluch, P. S., Grover, V., &amp; Thatcher, J. B. (2015). Interrupting the workplace: Examining stressors in an information technology context. </w:t>
      </w:r>
      <w:r w:rsidRPr="0001200D">
        <w:rPr>
          <w:i/>
        </w:rPr>
        <w:t>Journal of the Association for Information Systems</w:t>
      </w:r>
      <w:r w:rsidRPr="0001200D">
        <w:t>,</w:t>
      </w:r>
      <w:r w:rsidRPr="0001200D">
        <w:rPr>
          <w:i/>
        </w:rPr>
        <w:t xml:space="preserve"> 16</w:t>
      </w:r>
      <w:r w:rsidRPr="0001200D">
        <w:t xml:space="preserve">(1), 1-47. </w:t>
      </w:r>
    </w:p>
    <w:p w14:paraId="77B85497" w14:textId="6311D386" w:rsidR="003E5B95" w:rsidRPr="0001200D" w:rsidRDefault="003E5B95" w:rsidP="003E5B95">
      <w:pPr>
        <w:pStyle w:val="EndNoteBibliography"/>
        <w:spacing w:after="240"/>
        <w:ind w:left="720" w:hanging="720"/>
      </w:pPr>
      <w:r w:rsidRPr="0001200D">
        <w:t xml:space="preserve">Gaudioso, F., Turel, O., &amp; Galimberti, C. (2017). The mediating roles of strain facets and coping strategies in translating techno-stressors into adverse job outcomes. </w:t>
      </w:r>
      <w:r w:rsidRPr="0001200D">
        <w:rPr>
          <w:i/>
        </w:rPr>
        <w:t>Computers in Human Behavior</w:t>
      </w:r>
      <w:r w:rsidRPr="0001200D">
        <w:t>,</w:t>
      </w:r>
      <w:r w:rsidRPr="0001200D">
        <w:rPr>
          <w:i/>
        </w:rPr>
        <w:t xml:space="preserve"> 69</w:t>
      </w:r>
      <w:r w:rsidRPr="0001200D">
        <w:t xml:space="preserve">, 189-196. </w:t>
      </w:r>
      <w:r w:rsidRPr="003E5B95">
        <w:t>https://doi.org/10.1016/j.chb.2016.12.041</w:t>
      </w:r>
      <w:r w:rsidRPr="0001200D">
        <w:t xml:space="preserve"> </w:t>
      </w:r>
    </w:p>
    <w:p w14:paraId="75922CEC" w14:textId="08C25CE5" w:rsidR="003E5B95" w:rsidRPr="0001200D" w:rsidRDefault="003E5B95" w:rsidP="003E5B95">
      <w:pPr>
        <w:pStyle w:val="EndNoteBibliography"/>
        <w:spacing w:after="240"/>
        <w:ind w:left="720" w:hanging="720"/>
      </w:pPr>
      <w:r w:rsidRPr="0001200D">
        <w:lastRenderedPageBreak/>
        <w:t xml:space="preserve">George, J. F. (1996). Computer-Based Monitoring: Common Perceptions and Empirical Results. </w:t>
      </w:r>
      <w:r w:rsidRPr="0001200D">
        <w:rPr>
          <w:i/>
        </w:rPr>
        <w:t>MIS Quarterly</w:t>
      </w:r>
      <w:r w:rsidRPr="0001200D">
        <w:t>,</w:t>
      </w:r>
      <w:r w:rsidRPr="0001200D">
        <w:rPr>
          <w:i/>
        </w:rPr>
        <w:t xml:space="preserve"> 20</w:t>
      </w:r>
      <w:r w:rsidRPr="0001200D">
        <w:t xml:space="preserve">(4), 459-480. </w:t>
      </w:r>
      <w:r w:rsidRPr="003E5B95">
        <w:t>https://doi.org/10.2307/249564</w:t>
      </w:r>
      <w:r w:rsidRPr="0001200D">
        <w:t xml:space="preserve"> </w:t>
      </w:r>
    </w:p>
    <w:p w14:paraId="03D2548C" w14:textId="7EA667B0" w:rsidR="003E5B95" w:rsidRPr="0001200D" w:rsidRDefault="003E5B95" w:rsidP="003E5B95">
      <w:pPr>
        <w:pStyle w:val="EndNoteBibliography"/>
        <w:spacing w:after="240"/>
        <w:ind w:left="720" w:hanging="720"/>
      </w:pPr>
      <w:r w:rsidRPr="0001200D">
        <w:t xml:space="preserve">Helkala, K., Knox, B., Jøsok, Ø., Knox, S., &amp; Lund, M. (2016). Factors to affect improvement in cyber officer performance. </w:t>
      </w:r>
      <w:r w:rsidRPr="0001200D">
        <w:rPr>
          <w:i/>
        </w:rPr>
        <w:t>Information and Computer Security</w:t>
      </w:r>
      <w:r w:rsidRPr="0001200D">
        <w:t>,</w:t>
      </w:r>
      <w:r w:rsidRPr="0001200D">
        <w:rPr>
          <w:i/>
        </w:rPr>
        <w:t xml:space="preserve"> 24</w:t>
      </w:r>
      <w:r w:rsidRPr="0001200D">
        <w:t xml:space="preserve">(2), 152. </w:t>
      </w:r>
    </w:p>
    <w:p w14:paraId="3702273F" w14:textId="0BFE6910" w:rsidR="003E5B95" w:rsidRPr="0001200D" w:rsidRDefault="003E5B95" w:rsidP="003E5B95">
      <w:pPr>
        <w:pStyle w:val="EndNoteBibliography"/>
        <w:spacing w:after="240"/>
        <w:ind w:left="720" w:hanging="720"/>
      </w:pPr>
      <w:r w:rsidRPr="0001200D">
        <w:t xml:space="preserve">Hennington, A., Janz, B., &amp; Poston, R. (2011). I’m just burned out: Understanding information system compatibility with personal values and role-based stress in a nursing context. </w:t>
      </w:r>
      <w:r w:rsidRPr="0001200D">
        <w:rPr>
          <w:i/>
        </w:rPr>
        <w:t>Computers in Human Behavior</w:t>
      </w:r>
      <w:r w:rsidRPr="0001200D">
        <w:t>,</w:t>
      </w:r>
      <w:r w:rsidRPr="0001200D">
        <w:rPr>
          <w:i/>
        </w:rPr>
        <w:t xml:space="preserve"> 27</w:t>
      </w:r>
      <w:r w:rsidRPr="0001200D">
        <w:t xml:space="preserve">(3), 1238-1248. </w:t>
      </w:r>
      <w:r w:rsidRPr="003E5B95">
        <w:t>https://doi.org/10.1016/j.chb.2011.01.004</w:t>
      </w:r>
      <w:r w:rsidRPr="0001200D">
        <w:t xml:space="preserve"> </w:t>
      </w:r>
    </w:p>
    <w:p w14:paraId="68A8720D" w14:textId="77777777" w:rsidR="003E5B95" w:rsidRPr="0001200D" w:rsidRDefault="003E5B95" w:rsidP="003E5B95">
      <w:pPr>
        <w:pStyle w:val="EndNoteBibliography"/>
        <w:spacing w:after="240"/>
        <w:ind w:left="720" w:hanging="720"/>
      </w:pPr>
      <w:r w:rsidRPr="0001200D">
        <w:t xml:space="preserve">Hwang, I., &amp; Cha, O. (2018). Examining technostress creators and role stress as potential threats to employees' information security compliance. </w:t>
      </w:r>
      <w:r w:rsidRPr="0001200D">
        <w:rPr>
          <w:i/>
        </w:rPr>
        <w:t>Computers in Human Behavior</w:t>
      </w:r>
      <w:r w:rsidRPr="0001200D">
        <w:t>,</w:t>
      </w:r>
      <w:r w:rsidRPr="0001200D">
        <w:rPr>
          <w:i/>
        </w:rPr>
        <w:t xml:space="preserve"> 81</w:t>
      </w:r>
      <w:r w:rsidRPr="0001200D">
        <w:t xml:space="preserve">, 282-293. </w:t>
      </w:r>
    </w:p>
    <w:p w14:paraId="212C5895" w14:textId="19E40385" w:rsidR="003E5B95" w:rsidRPr="0001200D" w:rsidRDefault="003E5B95" w:rsidP="003E5B95">
      <w:pPr>
        <w:pStyle w:val="EndNoteBibliography"/>
        <w:spacing w:after="240"/>
        <w:ind w:left="720" w:hanging="720"/>
      </w:pPr>
      <w:r w:rsidRPr="0001200D">
        <w:t xml:space="preserve">Igbaria, M., &amp; Guimaraes, T. (1993). Antecedents and Consequences of Job Satisfaction among Information Center Employees. </w:t>
      </w:r>
      <w:r w:rsidRPr="0001200D">
        <w:rPr>
          <w:i/>
        </w:rPr>
        <w:t>Journal of Management Information Systems</w:t>
      </w:r>
      <w:r w:rsidRPr="0001200D">
        <w:t>,</w:t>
      </w:r>
      <w:r w:rsidRPr="0001200D">
        <w:rPr>
          <w:i/>
        </w:rPr>
        <w:t xml:space="preserve"> 9</w:t>
      </w:r>
      <w:r w:rsidRPr="0001200D">
        <w:t xml:space="preserve">(4), 145-174. </w:t>
      </w:r>
      <w:r w:rsidRPr="003E5B95">
        <w:t>https://doi.org/10.1080/07421222.1993.11517983</w:t>
      </w:r>
      <w:r w:rsidRPr="0001200D">
        <w:t xml:space="preserve"> </w:t>
      </w:r>
    </w:p>
    <w:p w14:paraId="3D4F0945" w14:textId="7C359D8C" w:rsidR="003E5B95" w:rsidRPr="0001200D" w:rsidRDefault="003E5B95" w:rsidP="003E5B95">
      <w:pPr>
        <w:pStyle w:val="EndNoteBibliography"/>
        <w:spacing w:after="240"/>
        <w:ind w:left="720" w:hanging="720"/>
      </w:pPr>
      <w:r w:rsidRPr="0001200D">
        <w:t xml:space="preserve">Igbaria, M., Parasuraman, S., &amp; Badawy, M. K. (1994). Work experiences, job involvement, and quality of work life among information systems personnel. </w:t>
      </w:r>
      <w:r w:rsidRPr="0001200D">
        <w:rPr>
          <w:i/>
        </w:rPr>
        <w:t>MIS Quarterly</w:t>
      </w:r>
      <w:r w:rsidR="00803720">
        <w:t xml:space="preserve">, </w:t>
      </w:r>
      <w:r w:rsidR="00803720" w:rsidRPr="00803720">
        <w:rPr>
          <w:i/>
          <w:iCs/>
        </w:rPr>
        <w:t>18</w:t>
      </w:r>
      <w:r w:rsidR="00803720">
        <w:t xml:space="preserve">(2), </w:t>
      </w:r>
      <w:r w:rsidRPr="0001200D">
        <w:t xml:space="preserve">175-201. </w:t>
      </w:r>
    </w:p>
    <w:p w14:paraId="1C237E4D" w14:textId="3C3C6EF4" w:rsidR="003E5B95" w:rsidRPr="0001200D" w:rsidRDefault="003E5B95" w:rsidP="003E5B95">
      <w:pPr>
        <w:pStyle w:val="EndNoteBibliography"/>
        <w:spacing w:after="240"/>
        <w:ind w:left="720" w:hanging="720"/>
      </w:pPr>
      <w:r w:rsidRPr="0001200D">
        <w:t xml:space="preserve">Ishii, K., &amp; Markman, K. M. (2016). Online customer service and emotional labor: An exploratory study. </w:t>
      </w:r>
      <w:r w:rsidRPr="0001200D">
        <w:rPr>
          <w:i/>
        </w:rPr>
        <w:t>Computers in Human Behavior</w:t>
      </w:r>
      <w:r w:rsidRPr="0001200D">
        <w:t>,</w:t>
      </w:r>
      <w:r w:rsidRPr="0001200D">
        <w:rPr>
          <w:i/>
        </w:rPr>
        <w:t xml:space="preserve"> 62</w:t>
      </w:r>
      <w:r w:rsidRPr="0001200D">
        <w:t xml:space="preserve">, 658-665. </w:t>
      </w:r>
      <w:r w:rsidRPr="003E5B95">
        <w:t>https://doi.org/10.1016/j.chb.2016.04.037</w:t>
      </w:r>
      <w:r w:rsidRPr="0001200D">
        <w:t xml:space="preserve"> </w:t>
      </w:r>
    </w:p>
    <w:p w14:paraId="18B10879" w14:textId="655BABA1" w:rsidR="003E5B95" w:rsidRPr="0001200D" w:rsidRDefault="003E5B95" w:rsidP="003E5B95">
      <w:pPr>
        <w:pStyle w:val="EndNoteBibliography"/>
        <w:spacing w:after="240"/>
        <w:ind w:left="720" w:hanging="720"/>
      </w:pPr>
      <w:r w:rsidRPr="0001200D">
        <w:t xml:space="preserve">Jena, R. K. (2015). Technostress in ICT enabled collaborative learning environment: An empirical study among Indian academician. </w:t>
      </w:r>
      <w:r w:rsidRPr="0001200D">
        <w:rPr>
          <w:i/>
        </w:rPr>
        <w:t>Computers in Human Behavior</w:t>
      </w:r>
      <w:r w:rsidRPr="0001200D">
        <w:t>,</w:t>
      </w:r>
      <w:r w:rsidRPr="0001200D">
        <w:rPr>
          <w:i/>
        </w:rPr>
        <w:t xml:space="preserve"> 51</w:t>
      </w:r>
      <w:r w:rsidRPr="0001200D">
        <w:t xml:space="preserve">(Part B), 1116-1123. </w:t>
      </w:r>
      <w:r w:rsidRPr="003E5B95">
        <w:t>https://doi.org/10.1016/j.chb.2015.03.020</w:t>
      </w:r>
      <w:r w:rsidRPr="0001200D">
        <w:t xml:space="preserve"> </w:t>
      </w:r>
    </w:p>
    <w:p w14:paraId="5A9EBBC8" w14:textId="77777777" w:rsidR="003E5B95" w:rsidRPr="0001200D" w:rsidRDefault="003E5B95" w:rsidP="003E5B95">
      <w:pPr>
        <w:pStyle w:val="EndNoteBibliography"/>
        <w:spacing w:after="240"/>
        <w:ind w:left="720" w:hanging="720"/>
      </w:pPr>
      <w:r w:rsidRPr="0001200D">
        <w:t xml:space="preserve">King, R. C., &amp; Sethi, V. (1997). The moderating effect of organizational commitment on burnout in information systems professionals. </w:t>
      </w:r>
      <w:r w:rsidRPr="0001200D">
        <w:rPr>
          <w:i/>
        </w:rPr>
        <w:t>European Journal of Information Systems</w:t>
      </w:r>
      <w:r w:rsidRPr="0001200D">
        <w:t>,</w:t>
      </w:r>
      <w:r w:rsidRPr="0001200D">
        <w:rPr>
          <w:i/>
        </w:rPr>
        <w:t xml:space="preserve"> 6</w:t>
      </w:r>
      <w:r w:rsidRPr="0001200D">
        <w:t xml:space="preserve">(2), 86-96. </w:t>
      </w:r>
    </w:p>
    <w:p w14:paraId="1696DFD8" w14:textId="14CB9DA5" w:rsidR="003E5B95" w:rsidRPr="0001200D" w:rsidRDefault="003E5B95" w:rsidP="003E5B95">
      <w:pPr>
        <w:pStyle w:val="EndNoteBibliography"/>
        <w:spacing w:after="240"/>
        <w:ind w:left="720" w:hanging="720"/>
      </w:pPr>
      <w:r w:rsidRPr="0001200D">
        <w:t xml:space="preserve">Krishnan, S. (2017). Personality and espoused cultural differences in technostress creators. </w:t>
      </w:r>
      <w:r w:rsidRPr="0001200D">
        <w:rPr>
          <w:i/>
        </w:rPr>
        <w:t>Computers in Human Behavior</w:t>
      </w:r>
      <w:r w:rsidRPr="0001200D">
        <w:t>,</w:t>
      </w:r>
      <w:r w:rsidRPr="0001200D">
        <w:rPr>
          <w:i/>
        </w:rPr>
        <w:t xml:space="preserve"> 66</w:t>
      </w:r>
      <w:r w:rsidRPr="0001200D">
        <w:t xml:space="preserve">, 154-167. </w:t>
      </w:r>
      <w:r w:rsidRPr="003E5B95">
        <w:t>https://doi.org/10.1016/j.chb.2016.09.039</w:t>
      </w:r>
      <w:r w:rsidRPr="0001200D">
        <w:t xml:space="preserve"> </w:t>
      </w:r>
    </w:p>
    <w:p w14:paraId="3516226F" w14:textId="77777777" w:rsidR="003E5B95" w:rsidRPr="0001200D" w:rsidRDefault="003E5B95" w:rsidP="003E5B95">
      <w:pPr>
        <w:pStyle w:val="EndNoteBibliography"/>
        <w:spacing w:after="240"/>
        <w:ind w:left="720" w:hanging="720"/>
      </w:pPr>
      <w:r w:rsidRPr="0001200D">
        <w:t xml:space="preserve">Lee, C., Lee, C. C., &amp; Kim, S. (2016). Understanding information security stress: Focusing on the type of information security compliance activity. </w:t>
      </w:r>
      <w:r w:rsidRPr="0001200D">
        <w:rPr>
          <w:i/>
        </w:rPr>
        <w:t>COmputers Security</w:t>
      </w:r>
      <w:r w:rsidRPr="0001200D">
        <w:t>,</w:t>
      </w:r>
      <w:r w:rsidRPr="0001200D">
        <w:rPr>
          <w:i/>
        </w:rPr>
        <w:t xml:space="preserve"> 59</w:t>
      </w:r>
      <w:r w:rsidRPr="0001200D">
        <w:t xml:space="preserve">, 60-70. </w:t>
      </w:r>
    </w:p>
    <w:p w14:paraId="2D33C24F" w14:textId="1AB71884" w:rsidR="003E5B95" w:rsidRPr="0001200D" w:rsidRDefault="003E5B95" w:rsidP="003E5B95">
      <w:pPr>
        <w:pStyle w:val="EndNoteBibliography"/>
        <w:spacing w:after="240"/>
        <w:ind w:left="720" w:hanging="720"/>
      </w:pPr>
      <w:r w:rsidRPr="0001200D">
        <w:t xml:space="preserve">LeRouge, C., Nelson, A., &amp; Blanton, J. E. (2006). The impact of role stress fit and self-esteem on the job attitudes of IT professionals. </w:t>
      </w:r>
      <w:r w:rsidRPr="0001200D">
        <w:rPr>
          <w:i/>
        </w:rPr>
        <w:t>Information &amp; Management</w:t>
      </w:r>
      <w:r w:rsidRPr="0001200D">
        <w:t>,</w:t>
      </w:r>
      <w:r w:rsidRPr="0001200D">
        <w:rPr>
          <w:i/>
        </w:rPr>
        <w:t xml:space="preserve"> 43</w:t>
      </w:r>
      <w:r w:rsidRPr="0001200D">
        <w:t xml:space="preserve">(8), 928-938. </w:t>
      </w:r>
      <w:r w:rsidRPr="003E5B95">
        <w:t>https://doi.org/10.1016/j.im.2006.08.011</w:t>
      </w:r>
      <w:r w:rsidRPr="0001200D">
        <w:t xml:space="preserve"> </w:t>
      </w:r>
    </w:p>
    <w:p w14:paraId="35B21D34" w14:textId="77777777" w:rsidR="003E5B95" w:rsidRPr="0001200D" w:rsidRDefault="003E5B95" w:rsidP="003E5B95">
      <w:pPr>
        <w:pStyle w:val="EndNoteBibliography"/>
        <w:spacing w:after="240"/>
        <w:ind w:left="720" w:hanging="720"/>
      </w:pPr>
      <w:r w:rsidRPr="0001200D">
        <w:t xml:space="preserve">Li, E. Y., &amp; Shani, A. B. (1991). Stress dynamics of information systems managers: a contingency model. </w:t>
      </w:r>
      <w:r w:rsidRPr="0001200D">
        <w:rPr>
          <w:i/>
        </w:rPr>
        <w:t>Journal of Management Information Systems</w:t>
      </w:r>
      <w:r w:rsidRPr="0001200D">
        <w:t>,</w:t>
      </w:r>
      <w:r w:rsidRPr="0001200D">
        <w:rPr>
          <w:i/>
        </w:rPr>
        <w:t xml:space="preserve"> 7</w:t>
      </w:r>
      <w:r w:rsidRPr="0001200D">
        <w:t xml:space="preserve">(4), 107-130. </w:t>
      </w:r>
    </w:p>
    <w:p w14:paraId="0D1718D4" w14:textId="3DD2A53F" w:rsidR="003E5B95" w:rsidRPr="0001200D" w:rsidRDefault="003E5B95" w:rsidP="003E5B95">
      <w:pPr>
        <w:pStyle w:val="EndNoteBibliography"/>
        <w:spacing w:after="240"/>
        <w:ind w:left="720" w:hanging="720"/>
      </w:pPr>
      <w:r w:rsidRPr="0001200D">
        <w:lastRenderedPageBreak/>
        <w:t xml:space="preserve">Liang, H., Xue, Y., Pinsonneault, A., &amp; Wu “Andy”, Y. (2019). What Users Do Besides Problem-Focused Coping When Facing IT Security Threats: An Emotion-Focused Coping Perspective. </w:t>
      </w:r>
      <w:r w:rsidRPr="0001200D">
        <w:rPr>
          <w:i/>
        </w:rPr>
        <w:t>MIS Quarterly</w:t>
      </w:r>
      <w:r w:rsidRPr="0001200D">
        <w:t>,</w:t>
      </w:r>
      <w:r w:rsidRPr="0001200D">
        <w:rPr>
          <w:i/>
        </w:rPr>
        <w:t xml:space="preserve"> 43</w:t>
      </w:r>
      <w:r w:rsidRPr="0001200D">
        <w:t xml:space="preserve">(2), 373-394. </w:t>
      </w:r>
      <w:r w:rsidRPr="003E5B95">
        <w:t>https://doi.org/10.25300/MISQ/2019/14360</w:t>
      </w:r>
      <w:r w:rsidRPr="0001200D">
        <w:t xml:space="preserve"> </w:t>
      </w:r>
    </w:p>
    <w:p w14:paraId="4A2034B0" w14:textId="77777777" w:rsidR="003E5B95" w:rsidRPr="0001200D" w:rsidRDefault="003E5B95" w:rsidP="003E5B95">
      <w:pPr>
        <w:pStyle w:val="EndNoteBibliography"/>
        <w:spacing w:after="240"/>
        <w:ind w:left="720" w:hanging="720"/>
      </w:pPr>
      <w:r w:rsidRPr="0001200D">
        <w:t xml:space="preserve">Lundgren, M., &amp; Bergström, E. (2019). Security-related stress: A perspective on information security risk management. International Conference on Cyber Security and Protection of Digital Services (Cyber Security), </w:t>
      </w:r>
    </w:p>
    <w:p w14:paraId="50921C34" w14:textId="77777777" w:rsidR="003E5B95" w:rsidRPr="0001200D" w:rsidRDefault="003E5B95" w:rsidP="003E5B95">
      <w:pPr>
        <w:pStyle w:val="EndNoteBibliography"/>
        <w:spacing w:after="240"/>
        <w:ind w:left="720" w:hanging="720"/>
      </w:pPr>
      <w:r w:rsidRPr="0001200D">
        <w:t xml:space="preserve">Maier, C., Laumer, S., Wirth, J., &amp; Weitzel, T. (2019). Technostress and the hierarchical levels of personality: a two-wave study with multiple data samples. </w:t>
      </w:r>
      <w:r w:rsidRPr="0001200D">
        <w:rPr>
          <w:i/>
        </w:rPr>
        <w:t>European Journal of Information Systems</w:t>
      </w:r>
      <w:r w:rsidRPr="0001200D">
        <w:t>,</w:t>
      </w:r>
      <w:r w:rsidRPr="0001200D">
        <w:rPr>
          <w:i/>
        </w:rPr>
        <w:t xml:space="preserve"> 28</w:t>
      </w:r>
      <w:r w:rsidRPr="0001200D">
        <w:t xml:space="preserve">(5), 496-522. </w:t>
      </w:r>
    </w:p>
    <w:p w14:paraId="1050CFAF" w14:textId="77777777" w:rsidR="003E5B95" w:rsidRPr="0001200D" w:rsidRDefault="003E5B95" w:rsidP="003E5B95">
      <w:pPr>
        <w:pStyle w:val="EndNoteBibliography"/>
        <w:spacing w:after="240"/>
        <w:ind w:left="720" w:hanging="720"/>
      </w:pPr>
      <w:r w:rsidRPr="0001200D">
        <w:t xml:space="preserve">Mak, B. L., &amp; Sockel, H. (2001). A confirmatory factor analysis of IS employee motivation and retention. </w:t>
      </w:r>
      <w:r w:rsidRPr="0001200D">
        <w:rPr>
          <w:i/>
        </w:rPr>
        <w:t>Information &amp; Management</w:t>
      </w:r>
      <w:r w:rsidRPr="0001200D">
        <w:t>,</w:t>
      </w:r>
      <w:r w:rsidRPr="0001200D">
        <w:rPr>
          <w:i/>
        </w:rPr>
        <w:t xml:space="preserve"> 38</w:t>
      </w:r>
      <w:r w:rsidRPr="0001200D">
        <w:t xml:space="preserve">(5), 265-276. </w:t>
      </w:r>
    </w:p>
    <w:p w14:paraId="073C296B" w14:textId="50E4CBF7" w:rsidR="003E5B95" w:rsidRPr="0001200D" w:rsidRDefault="003E5B95" w:rsidP="003E5B95">
      <w:pPr>
        <w:pStyle w:val="EndNoteBibliography"/>
        <w:spacing w:after="240"/>
        <w:ind w:left="720" w:hanging="720"/>
      </w:pPr>
      <w:r w:rsidRPr="0001200D">
        <w:t xml:space="preserve">McCormac, A., Calic, D., Parsons, K., Butavicius, M., Pattinson, M., &amp; Lillie, M. (2018). The effect of resilience and job stress on information security awareness. </w:t>
      </w:r>
      <w:r w:rsidRPr="0001200D">
        <w:rPr>
          <w:i/>
        </w:rPr>
        <w:t>Information and Computer Security</w:t>
      </w:r>
      <w:r w:rsidRPr="0001200D">
        <w:t>,</w:t>
      </w:r>
      <w:r w:rsidRPr="0001200D">
        <w:rPr>
          <w:i/>
        </w:rPr>
        <w:t xml:space="preserve"> 26</w:t>
      </w:r>
      <w:r w:rsidRPr="0001200D">
        <w:t xml:space="preserve">(3), 277. </w:t>
      </w:r>
    </w:p>
    <w:p w14:paraId="2A0DB43B" w14:textId="77777777" w:rsidR="003E5B95" w:rsidRPr="0001200D" w:rsidRDefault="003E5B95" w:rsidP="003E5B95">
      <w:pPr>
        <w:pStyle w:val="EndNoteBibliography"/>
        <w:spacing w:after="240"/>
        <w:ind w:left="720" w:hanging="720"/>
      </w:pPr>
      <w:r w:rsidRPr="0001200D">
        <w:t xml:space="preserve">Moody, G. D., &amp; Galletta, D. F. (2015). Lost in Cyberspace: The Impact of Information Scent and Time Constraints on Stress, Performance, and Attitudes Online. </w:t>
      </w:r>
      <w:r w:rsidRPr="0001200D">
        <w:rPr>
          <w:i/>
        </w:rPr>
        <w:t>Journal of Management Information Systems</w:t>
      </w:r>
      <w:r w:rsidRPr="0001200D">
        <w:t>,</w:t>
      </w:r>
      <w:r w:rsidRPr="0001200D">
        <w:rPr>
          <w:i/>
        </w:rPr>
        <w:t xml:space="preserve"> 32</w:t>
      </w:r>
      <w:r w:rsidRPr="0001200D">
        <w:t xml:space="preserve">(1), 192-224. </w:t>
      </w:r>
      <w:r w:rsidRPr="003E5B95">
        <w:t>https://doi.org/10.1080/07421222.2015.1029391</w:t>
      </w:r>
      <w:r w:rsidRPr="0001200D">
        <w:t xml:space="preserve"> </w:t>
      </w:r>
    </w:p>
    <w:p w14:paraId="6AC80469" w14:textId="74093315" w:rsidR="003E5B95" w:rsidRPr="0001200D" w:rsidRDefault="003E5B95" w:rsidP="003E5B95">
      <w:pPr>
        <w:pStyle w:val="EndNoteBibliography"/>
        <w:spacing w:after="240"/>
        <w:ind w:left="720" w:hanging="720"/>
      </w:pPr>
      <w:r w:rsidRPr="0001200D">
        <w:t xml:space="preserve">Moore, J. E. (2000). One Road To Turnover: An Examination Of Work Exhaustion in Technology Professionals. </w:t>
      </w:r>
      <w:r w:rsidRPr="0001200D">
        <w:rPr>
          <w:i/>
        </w:rPr>
        <w:t>MIS Quarterly</w:t>
      </w:r>
      <w:r w:rsidRPr="0001200D">
        <w:t>,</w:t>
      </w:r>
      <w:r w:rsidRPr="0001200D">
        <w:rPr>
          <w:i/>
        </w:rPr>
        <w:t xml:space="preserve"> 24</w:t>
      </w:r>
      <w:r w:rsidRPr="0001200D">
        <w:t xml:space="preserve">(1), 141-168. </w:t>
      </w:r>
      <w:r w:rsidRPr="003E5B95">
        <w:t>https://doi.org/10.2307/3250982</w:t>
      </w:r>
      <w:r w:rsidRPr="0001200D">
        <w:t xml:space="preserve"> </w:t>
      </w:r>
    </w:p>
    <w:p w14:paraId="165E2D34" w14:textId="2DB7A8D0" w:rsidR="003E5B95" w:rsidRPr="0001200D" w:rsidRDefault="003E5B95" w:rsidP="003E5B95">
      <w:pPr>
        <w:pStyle w:val="EndNoteBibliography"/>
        <w:spacing w:after="240"/>
        <w:ind w:left="720" w:hanging="720"/>
      </w:pPr>
      <w:r w:rsidRPr="0001200D">
        <w:t xml:space="preserve">Moquin, R., &amp; Wakefield, R. L. (2016). The Roles of Awareness, Sanctions, and Ethics in Software Compliance. </w:t>
      </w:r>
      <w:r w:rsidRPr="0001200D">
        <w:rPr>
          <w:i/>
        </w:rPr>
        <w:t>Journal of Computer Information Systems</w:t>
      </w:r>
      <w:r w:rsidRPr="0001200D">
        <w:t>,</w:t>
      </w:r>
      <w:r w:rsidRPr="0001200D">
        <w:rPr>
          <w:i/>
        </w:rPr>
        <w:t xml:space="preserve"> 56</w:t>
      </w:r>
      <w:r w:rsidRPr="0001200D">
        <w:t xml:space="preserve">(3), 261-270. </w:t>
      </w:r>
      <w:r w:rsidRPr="003E5B95">
        <w:t>https://doi.org/10.1080/08874417.2016.1153922</w:t>
      </w:r>
      <w:r w:rsidRPr="0001200D">
        <w:t xml:space="preserve"> </w:t>
      </w:r>
    </w:p>
    <w:p w14:paraId="35F8DD83" w14:textId="22D766C7" w:rsidR="003E5B95" w:rsidRPr="0001200D" w:rsidRDefault="003E5B95" w:rsidP="003E5B95">
      <w:pPr>
        <w:pStyle w:val="EndNoteBibliography"/>
        <w:spacing w:after="240"/>
        <w:ind w:left="720" w:hanging="720"/>
      </w:pPr>
      <w:r w:rsidRPr="0001200D">
        <w:t xml:space="preserve">Ortiz de Guinea, A. (2016). A pragmatic multi-method investigation of discrepant technological events: Coping, attributions, and ‘accidental’ learning. </w:t>
      </w:r>
      <w:r w:rsidRPr="0001200D">
        <w:rPr>
          <w:i/>
        </w:rPr>
        <w:t>Information &amp; Management</w:t>
      </w:r>
      <w:r w:rsidRPr="0001200D">
        <w:t>,</w:t>
      </w:r>
      <w:r w:rsidRPr="0001200D">
        <w:rPr>
          <w:i/>
        </w:rPr>
        <w:t xml:space="preserve"> 53</w:t>
      </w:r>
      <w:r w:rsidRPr="0001200D">
        <w:t xml:space="preserve">(6), 787-802. </w:t>
      </w:r>
      <w:r w:rsidRPr="003E5B95">
        <w:t>https://doi.org/10.1016/j.im.2016.03.003</w:t>
      </w:r>
      <w:r w:rsidRPr="0001200D">
        <w:t xml:space="preserve"> </w:t>
      </w:r>
    </w:p>
    <w:p w14:paraId="2756B838" w14:textId="79DB5CA4" w:rsidR="003E5B95" w:rsidRPr="0001200D" w:rsidRDefault="003E5B95" w:rsidP="003E5B95">
      <w:pPr>
        <w:pStyle w:val="EndNoteBibliography"/>
        <w:spacing w:after="240"/>
        <w:ind w:left="720" w:hanging="720"/>
      </w:pPr>
      <w:r w:rsidRPr="0001200D">
        <w:t xml:space="preserve">Ortiz de Guinea, A., &amp; Webster, J. (2013). An Investigation of Information Systems Use Patterns: Technological Events as Triggers, the Effect of Time, and Consequences for Performance. </w:t>
      </w:r>
      <w:r w:rsidRPr="0001200D">
        <w:rPr>
          <w:i/>
        </w:rPr>
        <w:t>MIS Quarterly</w:t>
      </w:r>
      <w:r w:rsidRPr="0001200D">
        <w:t>,</w:t>
      </w:r>
      <w:r w:rsidRPr="0001200D">
        <w:rPr>
          <w:i/>
        </w:rPr>
        <w:t xml:space="preserve"> 37</w:t>
      </w:r>
      <w:r w:rsidRPr="0001200D">
        <w:t>(4), 1165</w:t>
      </w:r>
      <w:r w:rsidR="00DE38F9">
        <w:t>-1188</w:t>
      </w:r>
      <w:r w:rsidRPr="0001200D">
        <w:t xml:space="preserve">. </w:t>
      </w:r>
    </w:p>
    <w:p w14:paraId="44E5F6B7" w14:textId="42D5DF51" w:rsidR="003E5B95" w:rsidRPr="0001200D" w:rsidRDefault="003E5B95" w:rsidP="003E5B95">
      <w:pPr>
        <w:pStyle w:val="EndNoteBibliography"/>
        <w:spacing w:after="240"/>
        <w:ind w:left="720" w:hanging="720"/>
      </w:pPr>
      <w:r w:rsidRPr="0001200D">
        <w:t xml:space="preserve">Park, J.-C., Kim, S., &amp; Lee, H. (2020). Effect of work-related smartphone use after work on job burnout: Moderating effect of social support and organizational politics. </w:t>
      </w:r>
      <w:r w:rsidRPr="0001200D">
        <w:rPr>
          <w:i/>
        </w:rPr>
        <w:t>Computers in Human Behavior</w:t>
      </w:r>
      <w:r w:rsidRPr="0001200D">
        <w:t>,</w:t>
      </w:r>
      <w:r w:rsidRPr="0001200D">
        <w:rPr>
          <w:i/>
        </w:rPr>
        <w:t xml:space="preserve"> 105</w:t>
      </w:r>
      <w:r w:rsidRPr="0001200D">
        <w:t xml:space="preserve">, 106194. </w:t>
      </w:r>
      <w:r w:rsidRPr="003E5B95">
        <w:t>https://doi.org/10.1016/j.chb.2019.106194</w:t>
      </w:r>
      <w:r w:rsidRPr="0001200D">
        <w:t xml:space="preserve"> </w:t>
      </w:r>
    </w:p>
    <w:p w14:paraId="45369110" w14:textId="77777777" w:rsidR="003E5B95" w:rsidRPr="0001200D" w:rsidRDefault="003E5B95" w:rsidP="003E5B95">
      <w:pPr>
        <w:pStyle w:val="EndNoteBibliography"/>
        <w:spacing w:after="240"/>
        <w:ind w:left="720" w:hanging="720"/>
      </w:pPr>
      <w:r w:rsidRPr="0001200D">
        <w:t xml:space="preserve">Pennington, R., &amp; Tuttle, B. (2007). The effects of information overload on software project risk assessment. </w:t>
      </w:r>
      <w:r w:rsidRPr="0001200D">
        <w:rPr>
          <w:i/>
        </w:rPr>
        <w:t>Decision Sciences</w:t>
      </w:r>
      <w:r w:rsidRPr="0001200D">
        <w:t>,</w:t>
      </w:r>
      <w:r w:rsidRPr="0001200D">
        <w:rPr>
          <w:i/>
        </w:rPr>
        <w:t xml:space="preserve"> 38</w:t>
      </w:r>
      <w:r w:rsidRPr="0001200D">
        <w:t xml:space="preserve">(3), 489-526. </w:t>
      </w:r>
    </w:p>
    <w:p w14:paraId="5967F0B2" w14:textId="74719479" w:rsidR="003E5B95" w:rsidRPr="0001200D" w:rsidRDefault="003E5B95" w:rsidP="003E5B95">
      <w:pPr>
        <w:pStyle w:val="EndNoteBibliography"/>
        <w:spacing w:after="240"/>
        <w:ind w:left="720" w:hanging="720"/>
      </w:pPr>
      <w:r w:rsidRPr="0001200D">
        <w:lastRenderedPageBreak/>
        <w:t xml:space="preserve">Pham, H.-C., El-Den, J., &amp; Richardson, J. (2016). Stress-based security compliance model – an exploratory study. </w:t>
      </w:r>
      <w:r w:rsidRPr="0001200D">
        <w:rPr>
          <w:i/>
        </w:rPr>
        <w:t>Information and Computer Security</w:t>
      </w:r>
      <w:r w:rsidRPr="0001200D">
        <w:t>,</w:t>
      </w:r>
      <w:r w:rsidRPr="0001200D">
        <w:rPr>
          <w:i/>
        </w:rPr>
        <w:t xml:space="preserve"> 24</w:t>
      </w:r>
      <w:r w:rsidRPr="0001200D">
        <w:t xml:space="preserve">(4), 326. </w:t>
      </w:r>
    </w:p>
    <w:p w14:paraId="0389CD5C" w14:textId="77777777" w:rsidR="003E5B95" w:rsidRPr="0001200D" w:rsidRDefault="003E5B95" w:rsidP="003E5B95">
      <w:pPr>
        <w:pStyle w:val="EndNoteBibliography"/>
        <w:spacing w:after="240"/>
        <w:ind w:left="720" w:hanging="720"/>
      </w:pPr>
      <w:r w:rsidRPr="0001200D">
        <w:t xml:space="preserve">Pham, H. C. (2019). Information security burnout: Identification of sources and mitigating factors from security demands and resources. </w:t>
      </w:r>
      <w:r w:rsidRPr="0001200D">
        <w:rPr>
          <w:i/>
        </w:rPr>
        <w:t>Journal of Information Security Applications</w:t>
      </w:r>
      <w:r w:rsidRPr="0001200D">
        <w:t>,</w:t>
      </w:r>
      <w:r w:rsidRPr="0001200D">
        <w:rPr>
          <w:i/>
        </w:rPr>
        <w:t xml:space="preserve"> 46</w:t>
      </w:r>
      <w:r w:rsidRPr="0001200D">
        <w:t xml:space="preserve">, 96-107. </w:t>
      </w:r>
    </w:p>
    <w:p w14:paraId="5897FD17" w14:textId="77777777" w:rsidR="003E5B95" w:rsidRPr="0001200D" w:rsidRDefault="003E5B95" w:rsidP="003E5B95">
      <w:pPr>
        <w:pStyle w:val="EndNoteBibliography"/>
        <w:spacing w:after="240"/>
        <w:ind w:left="720" w:hanging="720"/>
      </w:pPr>
      <w:r w:rsidRPr="0001200D">
        <w:t xml:space="preserve">Pirkkalainen, H., Salo, M., Tarafdar, M., &amp; Makkonen, M. (2019). Deliberate or Instinctive? Proactive and Reactive Coping for Technostress. </w:t>
      </w:r>
      <w:r w:rsidRPr="0001200D">
        <w:rPr>
          <w:i/>
        </w:rPr>
        <w:t>Journal of Management Information Systems</w:t>
      </w:r>
      <w:r w:rsidRPr="0001200D">
        <w:t>,</w:t>
      </w:r>
      <w:r w:rsidRPr="0001200D">
        <w:rPr>
          <w:i/>
        </w:rPr>
        <w:t xml:space="preserve"> 36</w:t>
      </w:r>
      <w:r w:rsidRPr="0001200D">
        <w:t xml:space="preserve">(4), 1179-1212. </w:t>
      </w:r>
    </w:p>
    <w:p w14:paraId="59D53DCF" w14:textId="77777777" w:rsidR="003E5B95" w:rsidRPr="0001200D" w:rsidRDefault="003E5B95" w:rsidP="003E5B95">
      <w:pPr>
        <w:pStyle w:val="EndNoteBibliography"/>
        <w:spacing w:after="240"/>
        <w:ind w:left="720" w:hanging="720"/>
      </w:pPr>
      <w:r w:rsidRPr="0001200D">
        <w:t xml:space="preserve">Ragu-Nathan, T., Tarafdar, M., Ragu-Nathan, B. S., &amp; Tu, Q. (2008). The consequences of technostress for end users in organizations: Conceptual development and empirical validation. </w:t>
      </w:r>
      <w:r w:rsidRPr="0001200D">
        <w:rPr>
          <w:i/>
        </w:rPr>
        <w:t>Information Systems Research</w:t>
      </w:r>
      <w:r w:rsidRPr="0001200D">
        <w:t>,</w:t>
      </w:r>
      <w:r w:rsidRPr="0001200D">
        <w:rPr>
          <w:i/>
        </w:rPr>
        <w:t xml:space="preserve"> 19</w:t>
      </w:r>
      <w:r w:rsidRPr="0001200D">
        <w:t xml:space="preserve">(4), 417-433. </w:t>
      </w:r>
    </w:p>
    <w:p w14:paraId="64B121F6" w14:textId="2DD68D3B" w:rsidR="003E5B95" w:rsidRPr="0001200D" w:rsidRDefault="003E5B95" w:rsidP="003E5B95">
      <w:pPr>
        <w:pStyle w:val="EndNoteBibliography"/>
        <w:spacing w:after="240"/>
        <w:ind w:left="720" w:hanging="720"/>
      </w:pPr>
      <w:r w:rsidRPr="0001200D">
        <w:t xml:space="preserve">Reinke, K., &amp; Chamorro-Premuzic, T. (2014). When email use gets out of control: Understanding the relationship between personality and email overload and their impact on burnout and work engagement. </w:t>
      </w:r>
      <w:r w:rsidRPr="0001200D">
        <w:rPr>
          <w:i/>
        </w:rPr>
        <w:t>Computers in Human Behavior</w:t>
      </w:r>
      <w:r w:rsidRPr="0001200D">
        <w:t>,</w:t>
      </w:r>
      <w:r w:rsidRPr="0001200D">
        <w:rPr>
          <w:i/>
        </w:rPr>
        <w:t xml:space="preserve"> 36</w:t>
      </w:r>
      <w:r w:rsidRPr="0001200D">
        <w:t xml:space="preserve">, 502-509. </w:t>
      </w:r>
      <w:r w:rsidRPr="003E5B95">
        <w:t>https://doi.org/10.1016/j.chb.2014.03.075</w:t>
      </w:r>
      <w:r w:rsidRPr="0001200D">
        <w:t xml:space="preserve"> </w:t>
      </w:r>
    </w:p>
    <w:p w14:paraId="7A70CC8E" w14:textId="77777777" w:rsidR="003E5B95" w:rsidRPr="0001200D" w:rsidRDefault="003E5B95" w:rsidP="003E5B95">
      <w:pPr>
        <w:pStyle w:val="EndNoteBibliography"/>
        <w:spacing w:after="240"/>
        <w:ind w:left="720" w:hanging="720"/>
      </w:pPr>
      <w:r w:rsidRPr="0001200D">
        <w:t xml:space="preserve">Rutner, P. S., Hardgrave, B. C., &amp; McKnight, D. H. (2008). Emotional dissonance and the information technology professional. </w:t>
      </w:r>
      <w:r w:rsidRPr="0001200D">
        <w:rPr>
          <w:i/>
        </w:rPr>
        <w:t>MIS Quarterly</w:t>
      </w:r>
      <w:r w:rsidRPr="0001200D">
        <w:t>,</w:t>
      </w:r>
      <w:r w:rsidRPr="0001200D">
        <w:rPr>
          <w:i/>
        </w:rPr>
        <w:t xml:space="preserve"> 32</w:t>
      </w:r>
      <w:r w:rsidRPr="0001200D">
        <w:t xml:space="preserve">(3), 635-652. </w:t>
      </w:r>
    </w:p>
    <w:p w14:paraId="54645CE5" w14:textId="2BBB599F" w:rsidR="003E5B95" w:rsidRPr="0001200D" w:rsidRDefault="003E5B95" w:rsidP="003E5B95">
      <w:pPr>
        <w:pStyle w:val="EndNoteBibliography"/>
        <w:spacing w:after="240"/>
        <w:ind w:left="720" w:hanging="720"/>
      </w:pPr>
      <w:r w:rsidRPr="0001200D">
        <w:t>Salanova, M., Grau, R. M., Cifre, E., &amp; Llorens, S. (2000). Computer training, frequency of usage and burnout: the moderating role of computer self-efficacy</w:t>
      </w:r>
      <w:r w:rsidR="000361CD">
        <w:t xml:space="preserve">. </w:t>
      </w:r>
      <w:r w:rsidRPr="0001200D">
        <w:rPr>
          <w:i/>
        </w:rPr>
        <w:t>Computers in Human Behavior</w:t>
      </w:r>
      <w:r w:rsidRPr="0001200D">
        <w:t>,</w:t>
      </w:r>
      <w:r w:rsidRPr="0001200D">
        <w:rPr>
          <w:i/>
        </w:rPr>
        <w:t xml:space="preserve"> 16</w:t>
      </w:r>
      <w:r w:rsidRPr="0001200D">
        <w:t xml:space="preserve">(6), 575-590. </w:t>
      </w:r>
      <w:r w:rsidRPr="003E5B95">
        <w:t>https://doi.org/10.1016/S0747-5632(00)00028-5</w:t>
      </w:r>
      <w:r w:rsidRPr="0001200D">
        <w:t xml:space="preserve"> </w:t>
      </w:r>
    </w:p>
    <w:p w14:paraId="294C9A07" w14:textId="67FB0B75" w:rsidR="003E5B95" w:rsidRPr="0001200D" w:rsidRDefault="003E5B95" w:rsidP="003E5B95">
      <w:pPr>
        <w:pStyle w:val="EndNoteBibliography"/>
        <w:spacing w:after="240"/>
        <w:ind w:left="720" w:hanging="720"/>
      </w:pPr>
      <w:r w:rsidRPr="0001200D">
        <w:t>Shih, S.-P., Jiang, J. J., Klein, G., &amp; Wang, E. (2011). Learning demand and job autonomy of IT personnel: Impact on turnover intention</w:t>
      </w:r>
      <w:r w:rsidR="000361CD">
        <w:t xml:space="preserve">. </w:t>
      </w:r>
      <w:r w:rsidRPr="0001200D">
        <w:rPr>
          <w:i/>
        </w:rPr>
        <w:t>Computers in Human Behavior</w:t>
      </w:r>
      <w:r w:rsidRPr="0001200D">
        <w:t>,</w:t>
      </w:r>
      <w:r w:rsidRPr="0001200D">
        <w:rPr>
          <w:i/>
        </w:rPr>
        <w:t xml:space="preserve"> 27</w:t>
      </w:r>
      <w:r w:rsidRPr="0001200D">
        <w:t xml:space="preserve">(6), 2301-2307. </w:t>
      </w:r>
      <w:r w:rsidRPr="003E5B95">
        <w:t>https://doi.org/10.1016/j.chb.2011.07.009</w:t>
      </w:r>
      <w:r w:rsidRPr="0001200D">
        <w:t xml:space="preserve"> </w:t>
      </w:r>
    </w:p>
    <w:p w14:paraId="7ABDDA67" w14:textId="77777777" w:rsidR="003E5B95" w:rsidRPr="0001200D" w:rsidRDefault="003E5B95" w:rsidP="003E5B95">
      <w:pPr>
        <w:pStyle w:val="EndNoteBibliography"/>
        <w:spacing w:after="240"/>
        <w:ind w:left="720" w:hanging="720"/>
      </w:pPr>
      <w:r w:rsidRPr="0001200D">
        <w:t xml:space="preserve">Shih, S.-P., Jiang, J. J., Klein, G., &amp; Wang, E. (2013). Job burnout of the information technology worker: Work exhaustion, depersonalization, and personal accomplishment. </w:t>
      </w:r>
      <w:r w:rsidRPr="0001200D">
        <w:rPr>
          <w:i/>
        </w:rPr>
        <w:t>Information &amp; Management</w:t>
      </w:r>
      <w:r w:rsidRPr="0001200D">
        <w:t>,</w:t>
      </w:r>
      <w:r w:rsidRPr="0001200D">
        <w:rPr>
          <w:i/>
        </w:rPr>
        <w:t xml:space="preserve"> 50</w:t>
      </w:r>
      <w:r w:rsidRPr="0001200D">
        <w:t xml:space="preserve">(7), 582-589. </w:t>
      </w:r>
    </w:p>
    <w:p w14:paraId="607095C8" w14:textId="77777777" w:rsidR="003E5B95" w:rsidRPr="0001200D" w:rsidRDefault="003E5B95" w:rsidP="003E5B95">
      <w:pPr>
        <w:pStyle w:val="EndNoteBibliography"/>
        <w:spacing w:after="240"/>
        <w:ind w:left="720" w:hanging="720"/>
      </w:pPr>
      <w:r w:rsidRPr="0001200D">
        <w:t xml:space="preserve">Shropshire, J., &amp; Kadlec, C. (2012). I’m leaving the IT field: the impact of stress, job insecurity, and burnout on IT professionals. </w:t>
      </w:r>
      <w:r w:rsidRPr="0001200D">
        <w:rPr>
          <w:i/>
        </w:rPr>
        <w:t>International Journal of Information and Communication Technology Research</w:t>
      </w:r>
      <w:r w:rsidRPr="0001200D">
        <w:t>,</w:t>
      </w:r>
      <w:r w:rsidRPr="0001200D">
        <w:rPr>
          <w:i/>
        </w:rPr>
        <w:t xml:space="preserve"> 2</w:t>
      </w:r>
      <w:r w:rsidRPr="0001200D">
        <w:t xml:space="preserve">(1). </w:t>
      </w:r>
    </w:p>
    <w:p w14:paraId="5A2EF6F1" w14:textId="77777777" w:rsidR="003E5B95" w:rsidRPr="0001200D" w:rsidRDefault="003E5B95" w:rsidP="003E5B95">
      <w:pPr>
        <w:pStyle w:val="EndNoteBibliography"/>
        <w:spacing w:after="240"/>
        <w:ind w:left="720" w:hanging="720"/>
      </w:pPr>
      <w:r w:rsidRPr="0001200D">
        <w:t xml:space="preserve">Srivastava, S. C., Chandra, S., &amp; Shirish, A. (2015). Technostress creators and job outcomes: theorising the moderating influence of personality traits. </w:t>
      </w:r>
      <w:r w:rsidRPr="0001200D">
        <w:rPr>
          <w:i/>
        </w:rPr>
        <w:t>Information Systems Journal</w:t>
      </w:r>
      <w:r w:rsidRPr="0001200D">
        <w:t>,</w:t>
      </w:r>
      <w:r w:rsidRPr="0001200D">
        <w:rPr>
          <w:i/>
        </w:rPr>
        <w:t xml:space="preserve"> 25</w:t>
      </w:r>
      <w:r w:rsidRPr="0001200D">
        <w:t xml:space="preserve">(4), 355-401. </w:t>
      </w:r>
    </w:p>
    <w:p w14:paraId="56C45ADC" w14:textId="052B2131" w:rsidR="003E5B95" w:rsidRPr="0001200D" w:rsidRDefault="003E5B95" w:rsidP="003E5B95">
      <w:pPr>
        <w:pStyle w:val="EndNoteBibliography"/>
        <w:spacing w:after="240"/>
        <w:ind w:left="720" w:hanging="720"/>
      </w:pPr>
      <w:r w:rsidRPr="0001200D">
        <w:t xml:space="preserve">Stich, J.-F., Tarafdar, M., Stacey, P., &amp; Cooper, C. L. (2019a). E-mail load, workload stress and desired e-mail load: a cybernetic approach. </w:t>
      </w:r>
      <w:r w:rsidRPr="0001200D">
        <w:rPr>
          <w:i/>
        </w:rPr>
        <w:t>Information Technology &amp; People</w:t>
      </w:r>
      <w:r w:rsidRPr="0001200D">
        <w:t>,</w:t>
      </w:r>
      <w:r w:rsidRPr="0001200D">
        <w:rPr>
          <w:i/>
        </w:rPr>
        <w:t xml:space="preserve"> 32</w:t>
      </w:r>
      <w:r w:rsidRPr="0001200D">
        <w:t xml:space="preserve">(2), 430-452. </w:t>
      </w:r>
      <w:r w:rsidRPr="003E5B95">
        <w:t>https://doi.org/10.1108/ITP-10-2017-0321</w:t>
      </w:r>
      <w:r w:rsidRPr="0001200D">
        <w:t xml:space="preserve"> </w:t>
      </w:r>
    </w:p>
    <w:p w14:paraId="45DE858F" w14:textId="77777777" w:rsidR="003E5B95" w:rsidRPr="0001200D" w:rsidRDefault="003E5B95" w:rsidP="003E5B95">
      <w:pPr>
        <w:pStyle w:val="EndNoteBibliography"/>
        <w:spacing w:after="240"/>
        <w:ind w:left="720" w:hanging="720"/>
      </w:pPr>
      <w:r w:rsidRPr="0001200D">
        <w:lastRenderedPageBreak/>
        <w:t xml:space="preserve">Stich, J.-F., Tarafdar, M., Stacey, P., &amp; Cooper, S. C. (2019b). Appraisal of Email Use as A Source of Workplace Stress: A Person-Environment Fit Approach. </w:t>
      </w:r>
      <w:r w:rsidRPr="0001200D">
        <w:rPr>
          <w:i/>
        </w:rPr>
        <w:t>Journal of the Association for Information Systems</w:t>
      </w:r>
      <w:r w:rsidRPr="0001200D">
        <w:t>,</w:t>
      </w:r>
      <w:r w:rsidRPr="0001200D">
        <w:rPr>
          <w:i/>
        </w:rPr>
        <w:t xml:space="preserve"> 20</w:t>
      </w:r>
      <w:r w:rsidRPr="0001200D">
        <w:t xml:space="preserve">(2), 132-160. </w:t>
      </w:r>
    </w:p>
    <w:p w14:paraId="04B69E69" w14:textId="77777777" w:rsidR="003E5B95" w:rsidRPr="0001200D" w:rsidRDefault="003E5B95" w:rsidP="003E5B95">
      <w:pPr>
        <w:pStyle w:val="EndNoteBibliography"/>
        <w:spacing w:after="240"/>
        <w:ind w:left="720" w:hanging="720"/>
      </w:pPr>
      <w:r w:rsidRPr="0001200D">
        <w:t xml:space="preserve">Tams, S., Ahuja, M., Thatcher, J., &amp; Grover, V. (2020). Worker stress in the age of mobile technology: The combined effects of perceived interruption overload and worker control. </w:t>
      </w:r>
      <w:r w:rsidRPr="0001200D">
        <w:rPr>
          <w:i/>
        </w:rPr>
        <w:t>The Journal of Strategic Information Systems</w:t>
      </w:r>
      <w:r w:rsidRPr="0001200D">
        <w:t>,</w:t>
      </w:r>
      <w:r w:rsidRPr="0001200D">
        <w:rPr>
          <w:i/>
        </w:rPr>
        <w:t xml:space="preserve"> 29</w:t>
      </w:r>
      <w:r w:rsidRPr="0001200D">
        <w:t xml:space="preserve">(1), 101595. </w:t>
      </w:r>
    </w:p>
    <w:p w14:paraId="6CE7E55A" w14:textId="3B779EBE" w:rsidR="003E5B95" w:rsidRPr="0001200D" w:rsidRDefault="003E5B95" w:rsidP="003E5B95">
      <w:pPr>
        <w:pStyle w:val="EndNoteBibliography"/>
        <w:spacing w:after="240"/>
        <w:ind w:left="720" w:hanging="720"/>
      </w:pPr>
      <w:r w:rsidRPr="0001200D">
        <w:t xml:space="preserve">Tams, S., Hill, K., de Guinea, A. O., Thatcher, J., &amp; Grover, V. (2014). NeuroIS—Alternative or Complement to Existing Methods? Illustrating the Holistic Effects of Neuroscience and Self-Reported Data in the Context of Technostress Research. </w:t>
      </w:r>
      <w:r w:rsidRPr="0001200D">
        <w:rPr>
          <w:i/>
        </w:rPr>
        <w:t>Journal of the Association for Information Systems</w:t>
      </w:r>
      <w:r w:rsidRPr="0001200D">
        <w:t>,</w:t>
      </w:r>
      <w:r w:rsidRPr="0001200D">
        <w:rPr>
          <w:i/>
        </w:rPr>
        <w:t xml:space="preserve"> 15</w:t>
      </w:r>
      <w:r w:rsidRPr="0001200D">
        <w:t xml:space="preserve">(10), 723-753. </w:t>
      </w:r>
      <w:r w:rsidRPr="003E5B95">
        <w:t>https://search.ebscohost.com/login.aspx?direct=true&amp;db=buh&amp;AN=99121382&amp;site=ehost-live&amp;scope=site</w:t>
      </w:r>
      <w:r w:rsidRPr="0001200D">
        <w:t xml:space="preserve"> </w:t>
      </w:r>
    </w:p>
    <w:p w14:paraId="1756AB47" w14:textId="797BD4DB" w:rsidR="003E5B95" w:rsidRPr="0001200D" w:rsidRDefault="003E5B95" w:rsidP="003E5B95">
      <w:pPr>
        <w:pStyle w:val="EndNoteBibliography"/>
        <w:spacing w:after="240"/>
        <w:ind w:left="720" w:hanging="720"/>
      </w:pPr>
      <w:r w:rsidRPr="0001200D">
        <w:t xml:space="preserve">Tams, S., Legoux, R., &amp; Léger, P.-M. (2018). Smartphone withdrawal creates stress: A moderated mediation model of nomophobia, social threat, and phone withdrawal context. </w:t>
      </w:r>
      <w:r w:rsidRPr="0001200D">
        <w:rPr>
          <w:i/>
        </w:rPr>
        <w:t>Computers in Human Behavior</w:t>
      </w:r>
      <w:r w:rsidRPr="0001200D">
        <w:t>,</w:t>
      </w:r>
      <w:r w:rsidRPr="0001200D">
        <w:rPr>
          <w:i/>
        </w:rPr>
        <w:t xml:space="preserve"> 81</w:t>
      </w:r>
      <w:r w:rsidRPr="0001200D">
        <w:t xml:space="preserve">, 1-9. </w:t>
      </w:r>
      <w:r w:rsidRPr="003E5B95">
        <w:t>https://doi.org/10.1016/j.chb.2017.11.026</w:t>
      </w:r>
      <w:r w:rsidRPr="0001200D">
        <w:t xml:space="preserve"> </w:t>
      </w:r>
    </w:p>
    <w:p w14:paraId="72F586C0" w14:textId="295228CA" w:rsidR="003E5B95" w:rsidRPr="0001200D" w:rsidRDefault="003E5B95" w:rsidP="003E5B95">
      <w:pPr>
        <w:pStyle w:val="EndNoteBibliography"/>
        <w:spacing w:after="240"/>
        <w:ind w:left="720" w:hanging="720"/>
      </w:pPr>
      <w:r w:rsidRPr="0001200D">
        <w:t xml:space="preserve">Tams, S., Thatcher, J. B., &amp; Grover, V. (2018). Concentration, Competence, Confidence, and Capture: An Experimental Study of Age, Interruption-based Technostress, and Task Performance. </w:t>
      </w:r>
      <w:r w:rsidRPr="0001200D">
        <w:rPr>
          <w:i/>
        </w:rPr>
        <w:t>Journal of the Association for Information Systems</w:t>
      </w:r>
      <w:r w:rsidRPr="0001200D">
        <w:t>,</w:t>
      </w:r>
      <w:r w:rsidRPr="0001200D">
        <w:rPr>
          <w:i/>
        </w:rPr>
        <w:t xml:space="preserve"> 19</w:t>
      </w:r>
      <w:r w:rsidRPr="0001200D">
        <w:t xml:space="preserve">(9), 857-908. </w:t>
      </w:r>
      <w:r w:rsidRPr="003E5B95">
        <w:t>https://doi.org/10.17705/1jais.00511</w:t>
      </w:r>
      <w:r w:rsidRPr="0001200D">
        <w:t xml:space="preserve"> </w:t>
      </w:r>
    </w:p>
    <w:p w14:paraId="503F6A49" w14:textId="77777777" w:rsidR="003E5B95" w:rsidRPr="0001200D" w:rsidRDefault="003E5B95" w:rsidP="003E5B95">
      <w:pPr>
        <w:pStyle w:val="EndNoteBibliography"/>
        <w:spacing w:after="240"/>
        <w:ind w:left="720" w:hanging="720"/>
      </w:pPr>
      <w:r w:rsidRPr="0001200D">
        <w:t xml:space="preserve">Tarafdar, M., Pullins, E. B., &amp; Ragu‐Nathan, T. (2015). Technostress: negative effect on performance and possible mitigations. </w:t>
      </w:r>
      <w:r w:rsidRPr="0001200D">
        <w:rPr>
          <w:i/>
        </w:rPr>
        <w:t>Information Systems Journal 25</w:t>
      </w:r>
      <w:r w:rsidRPr="0001200D">
        <w:t xml:space="preserve">(2), 103-132. </w:t>
      </w:r>
    </w:p>
    <w:p w14:paraId="2BDD5A26" w14:textId="77777777" w:rsidR="003E5B95" w:rsidRPr="0001200D" w:rsidRDefault="003E5B95" w:rsidP="003E5B95">
      <w:pPr>
        <w:pStyle w:val="EndNoteBibliography"/>
        <w:spacing w:after="240"/>
        <w:ind w:left="720" w:hanging="720"/>
      </w:pPr>
      <w:r w:rsidRPr="0001200D">
        <w:t xml:space="preserve">Tarafdar, M., Tu, Q., Ragu-Nathan, B. S., &amp; Ragu-Nathan, T. (2007). The impact of technostress on role stress and productivity. </w:t>
      </w:r>
      <w:r w:rsidRPr="0001200D">
        <w:rPr>
          <w:i/>
        </w:rPr>
        <w:t>Journal of Management Information Systems</w:t>
      </w:r>
      <w:r w:rsidRPr="0001200D">
        <w:t>,</w:t>
      </w:r>
      <w:r w:rsidRPr="0001200D">
        <w:rPr>
          <w:i/>
        </w:rPr>
        <w:t xml:space="preserve"> 24</w:t>
      </w:r>
      <w:r w:rsidRPr="0001200D">
        <w:t xml:space="preserve">(1), 301-328. </w:t>
      </w:r>
    </w:p>
    <w:p w14:paraId="65D81F4C" w14:textId="77777777" w:rsidR="003E5B95" w:rsidRPr="0001200D" w:rsidRDefault="003E5B95" w:rsidP="003E5B95">
      <w:pPr>
        <w:pStyle w:val="EndNoteBibliography"/>
        <w:spacing w:after="240"/>
        <w:ind w:left="720" w:hanging="720"/>
      </w:pPr>
      <w:r w:rsidRPr="0001200D">
        <w:t xml:space="preserve">Tarafdar, M., Tu, Q., &amp; Ragu-Nathan, T. (2010). Impact of technostress on end-user satisfaction and performance. </w:t>
      </w:r>
      <w:r w:rsidRPr="0001200D">
        <w:rPr>
          <w:i/>
        </w:rPr>
        <w:t>Jounral of Management Information Systems</w:t>
      </w:r>
      <w:r w:rsidRPr="0001200D">
        <w:t>,</w:t>
      </w:r>
      <w:r w:rsidRPr="0001200D">
        <w:rPr>
          <w:i/>
        </w:rPr>
        <w:t xml:space="preserve"> 27</w:t>
      </w:r>
      <w:r w:rsidRPr="0001200D">
        <w:t xml:space="preserve">(3), 303-334. </w:t>
      </w:r>
    </w:p>
    <w:p w14:paraId="2F3588FE" w14:textId="6453D228" w:rsidR="003E5B95" w:rsidRPr="0001200D" w:rsidRDefault="003E5B95" w:rsidP="003E5B95">
      <w:pPr>
        <w:pStyle w:val="EndNoteBibliography"/>
        <w:spacing w:after="240"/>
        <w:ind w:left="720" w:hanging="720"/>
      </w:pPr>
      <w:r w:rsidRPr="0001200D">
        <w:t xml:space="preserve">Tobler, N., Colvin, J., &amp; Rawlins, N. W. (2017). Longitudinal Analysis and Coping Model of User Adaptation. </w:t>
      </w:r>
      <w:r w:rsidRPr="0001200D">
        <w:rPr>
          <w:i/>
        </w:rPr>
        <w:t>Journal of Computer Information Systems</w:t>
      </w:r>
      <w:r w:rsidRPr="0001200D">
        <w:t>,</w:t>
      </w:r>
      <w:r w:rsidRPr="0001200D">
        <w:rPr>
          <w:i/>
        </w:rPr>
        <w:t xml:space="preserve"> 57</w:t>
      </w:r>
      <w:r w:rsidRPr="0001200D">
        <w:t xml:space="preserve">(2), 97-105. </w:t>
      </w:r>
      <w:r w:rsidRPr="003E5B95">
        <w:t>https://doi.org/10.1080/08874417.2016.1183415</w:t>
      </w:r>
      <w:r w:rsidRPr="0001200D">
        <w:t xml:space="preserve"> </w:t>
      </w:r>
    </w:p>
    <w:p w14:paraId="33D53EB5" w14:textId="32DF1B89" w:rsidR="003E5B95" w:rsidRPr="0001200D" w:rsidRDefault="003E5B95" w:rsidP="003E5B95">
      <w:pPr>
        <w:pStyle w:val="EndNoteBibliography"/>
        <w:spacing w:after="240"/>
        <w:ind w:left="720" w:hanging="720"/>
      </w:pPr>
      <w:r w:rsidRPr="0001200D">
        <w:t xml:space="preserve">Venkatesh, V., Rai, A., &amp; Maruping, L. M. (2018). Information Systems Projects and Individual Developer Outcomes: Role of Project Managers and Process Control </w:t>
      </w:r>
      <w:r w:rsidRPr="0001200D">
        <w:rPr>
          <w:i/>
        </w:rPr>
        <w:t>Information Systems Research</w:t>
      </w:r>
      <w:r w:rsidRPr="0001200D">
        <w:t>,</w:t>
      </w:r>
      <w:r w:rsidRPr="0001200D">
        <w:rPr>
          <w:i/>
        </w:rPr>
        <w:t xml:space="preserve"> 29</w:t>
      </w:r>
      <w:r w:rsidRPr="0001200D">
        <w:t xml:space="preserve">(1), 127-148. </w:t>
      </w:r>
      <w:r w:rsidRPr="003E5B95">
        <w:t>https://doi.org/10.1287/isre.2017.0723</w:t>
      </w:r>
      <w:r w:rsidRPr="0001200D">
        <w:t xml:space="preserve"> </w:t>
      </w:r>
    </w:p>
    <w:p w14:paraId="16D375B5" w14:textId="2C6D00DB" w:rsidR="003E5B95" w:rsidRPr="0001200D" w:rsidRDefault="003E5B95" w:rsidP="003E5B95">
      <w:pPr>
        <w:pStyle w:val="EndNoteBibliography"/>
        <w:spacing w:after="240"/>
        <w:ind w:left="720" w:hanging="720"/>
      </w:pPr>
      <w:r w:rsidRPr="0001200D">
        <w:t xml:space="preserve">Wang, J., Li, Y., &amp; Rao, H. R. (2017). Coping Responses in Phishing Detection: An Investigation of Antecedents and Consequences. </w:t>
      </w:r>
      <w:r w:rsidRPr="0001200D">
        <w:rPr>
          <w:i/>
        </w:rPr>
        <w:t>Information Systems Research</w:t>
      </w:r>
      <w:r w:rsidRPr="0001200D">
        <w:t>,</w:t>
      </w:r>
      <w:r w:rsidRPr="0001200D">
        <w:rPr>
          <w:i/>
        </w:rPr>
        <w:t xml:space="preserve"> 28</w:t>
      </w:r>
      <w:r w:rsidRPr="0001200D">
        <w:t xml:space="preserve">(2), 378-396. </w:t>
      </w:r>
      <w:r w:rsidRPr="003E5B95">
        <w:t>https://doi.org/10.1287/isre.2016.0680</w:t>
      </w:r>
      <w:r w:rsidRPr="0001200D">
        <w:t xml:space="preserve"> </w:t>
      </w:r>
    </w:p>
    <w:p w14:paraId="49574CF6" w14:textId="77777777" w:rsidR="003E5B95" w:rsidRPr="0001200D" w:rsidRDefault="003E5B95" w:rsidP="003E5B95">
      <w:pPr>
        <w:pStyle w:val="EndNoteBibliography"/>
        <w:spacing w:after="240"/>
        <w:ind w:left="720" w:hanging="720"/>
      </w:pPr>
      <w:r w:rsidRPr="0001200D">
        <w:t xml:space="preserve">Wang, K., Shu, Q., &amp; Tu, Q. (2008). Technostress under different organizational environments: An empirical investigation. </w:t>
      </w:r>
      <w:r w:rsidRPr="0001200D">
        <w:rPr>
          <w:i/>
        </w:rPr>
        <w:t>Computers in Human Behavior</w:t>
      </w:r>
      <w:r w:rsidRPr="0001200D">
        <w:t>,</w:t>
      </w:r>
      <w:r w:rsidRPr="0001200D">
        <w:rPr>
          <w:i/>
        </w:rPr>
        <w:t xml:space="preserve"> 24</w:t>
      </w:r>
      <w:r w:rsidRPr="0001200D">
        <w:t xml:space="preserve">(6), 3002-3013. </w:t>
      </w:r>
    </w:p>
    <w:p w14:paraId="353059A7" w14:textId="0DAB4AE3" w:rsidR="003E5B95" w:rsidRPr="0001200D" w:rsidRDefault="003E5B95" w:rsidP="003E5B95">
      <w:pPr>
        <w:pStyle w:val="EndNoteBibliography"/>
        <w:spacing w:after="240"/>
        <w:ind w:left="720" w:hanging="720"/>
      </w:pPr>
      <w:r w:rsidRPr="0001200D">
        <w:lastRenderedPageBreak/>
        <w:t xml:space="preserve">Wang, X., Tan, S. C., &amp; Li, L. (2020). Technostress in university students’ technology-enhanced learning: An investigation from multidimensional person-environment misfit. </w:t>
      </w:r>
      <w:r w:rsidRPr="0001200D">
        <w:rPr>
          <w:i/>
        </w:rPr>
        <w:t>Computers in Human Behavior</w:t>
      </w:r>
      <w:r w:rsidRPr="0001200D">
        <w:t>,</w:t>
      </w:r>
      <w:r w:rsidRPr="0001200D">
        <w:rPr>
          <w:i/>
        </w:rPr>
        <w:t xml:space="preserve"> 105</w:t>
      </w:r>
      <w:r w:rsidRPr="0001200D">
        <w:t xml:space="preserve">, 106208. </w:t>
      </w:r>
      <w:r w:rsidRPr="003E5B95">
        <w:t>https://doi.org/10.1016/j.chb.2019.106208</w:t>
      </w:r>
      <w:r w:rsidRPr="0001200D">
        <w:t xml:space="preserve"> </w:t>
      </w:r>
    </w:p>
    <w:p w14:paraId="1AEC1ECE" w14:textId="77777777" w:rsidR="003E5B95" w:rsidRPr="0001200D" w:rsidRDefault="003E5B95" w:rsidP="003E5B95">
      <w:pPr>
        <w:pStyle w:val="EndNoteBibliography"/>
        <w:spacing w:after="240"/>
        <w:ind w:left="720" w:hanging="720"/>
      </w:pPr>
      <w:r w:rsidRPr="0001200D">
        <w:t xml:space="preserve">Wastell, D. G. (1999). Learning dysfunctions in information systems development: overcoming the social defenses with transitional objects. </w:t>
      </w:r>
      <w:r w:rsidRPr="0001200D">
        <w:rPr>
          <w:i/>
        </w:rPr>
        <w:t>MIS Quarterly</w:t>
      </w:r>
      <w:r w:rsidRPr="0001200D">
        <w:t>,</w:t>
      </w:r>
      <w:r w:rsidRPr="0001200D">
        <w:rPr>
          <w:i/>
        </w:rPr>
        <w:t xml:space="preserve"> 23</w:t>
      </w:r>
      <w:r w:rsidRPr="0001200D">
        <w:t xml:space="preserve">(4), 581-600. </w:t>
      </w:r>
    </w:p>
    <w:p w14:paraId="6F669515" w14:textId="34F78C67" w:rsidR="003E5B95" w:rsidRPr="0001200D" w:rsidRDefault="003E5B95" w:rsidP="003E5B95">
      <w:pPr>
        <w:pStyle w:val="EndNoteBibliography"/>
        <w:spacing w:after="240"/>
        <w:ind w:left="720" w:hanging="720"/>
      </w:pPr>
      <w:r w:rsidRPr="0001200D">
        <w:t xml:space="preserve">Weiss, M. (1983). Effects of work stress and social support on information systems managers. </w:t>
      </w:r>
      <w:r w:rsidRPr="0001200D">
        <w:rPr>
          <w:i/>
        </w:rPr>
        <w:t>MIS Quarterly</w:t>
      </w:r>
      <w:r w:rsidRPr="0001200D">
        <w:t>,</w:t>
      </w:r>
      <w:r w:rsidRPr="0001200D">
        <w:rPr>
          <w:i/>
        </w:rPr>
        <w:t xml:space="preserve"> 7</w:t>
      </w:r>
      <w:r w:rsidR="00DE38F9" w:rsidRPr="00DE38F9">
        <w:rPr>
          <w:iCs/>
        </w:rPr>
        <w:t>(1)</w:t>
      </w:r>
      <w:r w:rsidRPr="00DE38F9">
        <w:rPr>
          <w:iCs/>
        </w:rPr>
        <w:t>,</w:t>
      </w:r>
      <w:r w:rsidRPr="0001200D">
        <w:t xml:space="preserve"> 29-43. </w:t>
      </w:r>
    </w:p>
    <w:p w14:paraId="4D723513" w14:textId="61EBB6FD" w:rsidR="003E5B95" w:rsidRPr="0001200D" w:rsidRDefault="003E5B95" w:rsidP="003E5B95">
      <w:pPr>
        <w:pStyle w:val="EndNoteBibliography"/>
        <w:spacing w:after="240"/>
        <w:ind w:left="720" w:hanging="720"/>
      </w:pPr>
      <w:r w:rsidRPr="0001200D">
        <w:t xml:space="preserve">Windeler, J. B., Maruping, L., &amp; Venkatesh, V. (2017). Technical Systems Development Risk Factors: The Role of Empowering Leadership in Lowering Developers' Stress. </w:t>
      </w:r>
      <w:r w:rsidRPr="0001200D">
        <w:rPr>
          <w:i/>
        </w:rPr>
        <w:t>Information Systems Research</w:t>
      </w:r>
      <w:r w:rsidRPr="0001200D">
        <w:t>,</w:t>
      </w:r>
      <w:r w:rsidRPr="0001200D">
        <w:rPr>
          <w:i/>
        </w:rPr>
        <w:t xml:space="preserve"> 28</w:t>
      </w:r>
      <w:r w:rsidRPr="0001200D">
        <w:t xml:space="preserve">(4), 775-796. </w:t>
      </w:r>
      <w:r w:rsidRPr="003E5B95">
        <w:t>https://doi.org/10.1287/isre.2017.0716</w:t>
      </w:r>
      <w:r w:rsidRPr="0001200D">
        <w:t xml:space="preserve"> </w:t>
      </w:r>
    </w:p>
    <w:p w14:paraId="316AE9DA" w14:textId="0DF0ECE2" w:rsidR="003E5B95" w:rsidRPr="0001200D" w:rsidRDefault="003E5B95" w:rsidP="003E5B95">
      <w:pPr>
        <w:pStyle w:val="EndNoteBibliography"/>
        <w:spacing w:after="240"/>
        <w:ind w:left="720" w:hanging="720"/>
      </w:pPr>
      <w:r w:rsidRPr="0001200D">
        <w:t xml:space="preserve">Yu, L., Cao, X., Liu, Z., &amp; Wang, J. (2018). Excessive social media use at work. </w:t>
      </w:r>
      <w:r w:rsidRPr="0001200D">
        <w:rPr>
          <w:i/>
        </w:rPr>
        <w:t>Information Technology &amp; People</w:t>
      </w:r>
      <w:r w:rsidRPr="0001200D">
        <w:t>,</w:t>
      </w:r>
      <w:r w:rsidRPr="0001200D">
        <w:rPr>
          <w:i/>
        </w:rPr>
        <w:t xml:space="preserve"> 31</w:t>
      </w:r>
      <w:r w:rsidRPr="0001200D">
        <w:t xml:space="preserve">(6), 1091-1112. </w:t>
      </w:r>
      <w:r w:rsidRPr="003E5B95">
        <w:t>https://doi.org/10.1108/ITP-10-2016-0237</w:t>
      </w:r>
      <w:r w:rsidRPr="0001200D">
        <w:t xml:space="preserve"> </w:t>
      </w:r>
    </w:p>
    <w:p w14:paraId="6D9A22C4" w14:textId="7BD3B491" w:rsidR="003E5B95" w:rsidRPr="0001200D" w:rsidRDefault="003E5B95" w:rsidP="003E5B95">
      <w:pPr>
        <w:pStyle w:val="EndNoteBibliography"/>
        <w:ind w:left="720" w:hanging="720"/>
      </w:pPr>
      <w:r w:rsidRPr="0001200D">
        <w:t xml:space="preserve">Zhao, X., Xia, Q., &amp; Huang, W. (2020). Impact of technostress on productivity from the theoretical perspective of appraisal and coping processes. </w:t>
      </w:r>
      <w:r w:rsidRPr="0001200D">
        <w:rPr>
          <w:i/>
        </w:rPr>
        <w:t>Information &amp; Management</w:t>
      </w:r>
      <w:r w:rsidRPr="0001200D">
        <w:t xml:space="preserve">, </w:t>
      </w:r>
      <w:r w:rsidR="00DE38F9" w:rsidRPr="00DE38F9">
        <w:rPr>
          <w:i/>
          <w:iCs/>
        </w:rPr>
        <w:t>57</w:t>
      </w:r>
      <w:r w:rsidR="00DE38F9">
        <w:t xml:space="preserve">(8), </w:t>
      </w:r>
      <w:r w:rsidRPr="0001200D">
        <w:t xml:space="preserve">103265. </w:t>
      </w:r>
      <w:r w:rsidRPr="003E5B95">
        <w:t>https://doi.org/10.1016/j.im.2020.103265</w:t>
      </w:r>
      <w:r w:rsidRPr="0001200D">
        <w:t xml:space="preserve"> </w:t>
      </w:r>
    </w:p>
    <w:p w14:paraId="4D34997C" w14:textId="77777777" w:rsidR="003E5B95" w:rsidRDefault="003E5B95" w:rsidP="003E5B95">
      <w:pPr>
        <w:sectPr w:rsidR="003E5B95" w:rsidSect="003E5B95">
          <w:pgSz w:w="12240" w:h="15840"/>
          <w:pgMar w:top="1440" w:right="1440" w:bottom="1440" w:left="1440" w:header="720" w:footer="720" w:gutter="0"/>
          <w:cols w:space="720"/>
          <w:titlePg/>
          <w:docGrid w:linePitch="360"/>
        </w:sectPr>
      </w:pPr>
    </w:p>
    <w:p w14:paraId="75F1139E" w14:textId="77777777" w:rsidR="003E5B95" w:rsidRPr="00507804" w:rsidRDefault="003E5B95" w:rsidP="003E5B95">
      <w:pPr>
        <w:pStyle w:val="Heading1"/>
        <w:rPr>
          <w:b/>
          <w:bCs/>
          <w:lang w:eastAsia="en-US"/>
        </w:rPr>
      </w:pPr>
      <w:bookmarkStart w:id="171" w:name="_Toc74045238"/>
      <w:bookmarkStart w:id="172" w:name="_Toc74087523"/>
      <w:bookmarkStart w:id="173" w:name="_Toc74258639"/>
      <w:r w:rsidRPr="00507804">
        <w:rPr>
          <w:b/>
          <w:bCs/>
          <w:lang w:eastAsia="en-US"/>
        </w:rPr>
        <w:lastRenderedPageBreak/>
        <w:t>THINKING OUTSIDE THE BOX: A MULTISTAGE DEMAND APPRAISAL MODEL FOR CYBERSECURITY PROFESSIONALS</w:t>
      </w:r>
      <w:bookmarkEnd w:id="171"/>
      <w:bookmarkEnd w:id="172"/>
      <w:bookmarkEnd w:id="173"/>
    </w:p>
    <w:p w14:paraId="0E961B8B" w14:textId="7F5AD78C" w:rsidR="00DF56B1" w:rsidRDefault="003E5B95" w:rsidP="00DF56B1">
      <w:pPr>
        <w:spacing w:after="160"/>
        <w:contextualSpacing w:val="0"/>
        <w:rPr>
          <w:rFonts w:cs="Times New Roman"/>
          <w:kern w:val="0"/>
          <w:szCs w:val="24"/>
          <w:lang w:eastAsia="en-US"/>
        </w:rPr>
        <w:sectPr w:rsidR="00DF56B1" w:rsidSect="00DF56B1">
          <w:footerReference w:type="default" r:id="rId15"/>
          <w:pgSz w:w="12240" w:h="15840"/>
          <w:pgMar w:top="2880" w:right="1440" w:bottom="1440" w:left="1440" w:header="720" w:footer="720" w:gutter="0"/>
          <w:cols w:space="720"/>
          <w:docGrid w:linePitch="360"/>
        </w:sectPr>
      </w:pPr>
      <w:r w:rsidRPr="00AC29E4">
        <w:rPr>
          <w:rFonts w:cs="Times New Roman"/>
          <w:kern w:val="0"/>
          <w:szCs w:val="24"/>
          <w:lang w:eastAsia="en-US"/>
        </w:rPr>
        <w:t>Electronic monitoring and surveillance (EMS)</w:t>
      </w:r>
      <w:r w:rsidRPr="00AC29E4">
        <w:rPr>
          <w:rFonts w:cs="Times New Roman"/>
          <w:kern w:val="0"/>
          <w:szCs w:val="24"/>
          <w:vertAlign w:val="superscript"/>
          <w:lang w:eastAsia="en-US"/>
        </w:rPr>
        <w:footnoteReference w:id="7"/>
      </w:r>
      <w:r w:rsidRPr="00AC29E4">
        <w:rPr>
          <w:rFonts w:cs="Times New Roman"/>
          <w:kern w:val="0"/>
          <w:szCs w:val="24"/>
          <w:lang w:eastAsia="en-US"/>
        </w:rPr>
        <w:t xml:space="preserve"> technologies are increasingly pervasive in organizational settings</w:t>
      </w:r>
      <w:r>
        <w:rPr>
          <w:rFonts w:cs="Times New Roman"/>
          <w:kern w:val="0"/>
          <w:szCs w:val="24"/>
          <w:lang w:eastAsia="en-US"/>
        </w:rPr>
        <w:t xml:space="preserve"> (</w:t>
      </w:r>
      <w:proofErr w:type="spellStart"/>
      <w:r>
        <w:rPr>
          <w:rFonts w:cs="Times New Roman"/>
          <w:kern w:val="0"/>
          <w:szCs w:val="24"/>
          <w:lang w:eastAsia="en-US"/>
        </w:rPr>
        <w:t>Alge</w:t>
      </w:r>
      <w:proofErr w:type="spellEnd"/>
      <w:r>
        <w:rPr>
          <w:rFonts w:cs="Times New Roman"/>
          <w:kern w:val="0"/>
          <w:szCs w:val="24"/>
          <w:lang w:eastAsia="en-US"/>
        </w:rPr>
        <w:t xml:space="preserve">, 2001; </w:t>
      </w:r>
      <w:proofErr w:type="spellStart"/>
      <w:r>
        <w:rPr>
          <w:rFonts w:cs="Times New Roman"/>
          <w:kern w:val="0"/>
          <w:szCs w:val="24"/>
          <w:lang w:eastAsia="en-US"/>
        </w:rPr>
        <w:t>Bhave</w:t>
      </w:r>
      <w:proofErr w:type="spellEnd"/>
      <w:r>
        <w:rPr>
          <w:rFonts w:cs="Times New Roman"/>
          <w:kern w:val="0"/>
          <w:szCs w:val="24"/>
          <w:lang w:eastAsia="en-US"/>
        </w:rPr>
        <w:t xml:space="preserve">, 2014; </w:t>
      </w:r>
      <w:proofErr w:type="spellStart"/>
      <w:r>
        <w:rPr>
          <w:rFonts w:cs="Times New Roman"/>
          <w:kern w:val="0"/>
          <w:szCs w:val="24"/>
          <w:lang w:eastAsia="en-US"/>
        </w:rPr>
        <w:t>Chory</w:t>
      </w:r>
      <w:proofErr w:type="spellEnd"/>
      <w:r>
        <w:rPr>
          <w:rFonts w:cs="Times New Roman"/>
          <w:kern w:val="0"/>
          <w:szCs w:val="24"/>
          <w:lang w:eastAsia="en-US"/>
        </w:rPr>
        <w:t xml:space="preserve"> et at.,</w:t>
      </w:r>
      <w:r w:rsidR="00E7361E">
        <w:rPr>
          <w:rFonts w:cs="Times New Roman"/>
          <w:kern w:val="0"/>
          <w:szCs w:val="24"/>
          <w:lang w:eastAsia="en-US"/>
        </w:rPr>
        <w:t xml:space="preserve"> </w:t>
      </w:r>
      <w:r>
        <w:rPr>
          <w:rFonts w:cs="Times New Roman"/>
          <w:kern w:val="0"/>
          <w:szCs w:val="24"/>
          <w:lang w:eastAsia="en-US"/>
        </w:rPr>
        <w:t>2016; Friedman &amp; Reid, 2007; Zweig &amp; Webster, 2002);</w:t>
      </w:r>
      <w:r w:rsidRPr="00AC29E4">
        <w:rPr>
          <w:rFonts w:cs="Times New Roman"/>
          <w:kern w:val="0"/>
          <w:szCs w:val="24"/>
          <w:lang w:eastAsia="en-US"/>
        </w:rPr>
        <w:t xml:space="preserve"> these technologies equip organizations with the capacity to collect, store, analyze, and report information about what their employees are doing in the workplace </w:t>
      </w:r>
      <w:r w:rsidRPr="00AC29E4">
        <w:rPr>
          <w:rFonts w:cs="Times New Roman"/>
          <w:noProof/>
          <w:kern w:val="0"/>
          <w:szCs w:val="24"/>
          <w:lang w:eastAsia="en-US"/>
        </w:rPr>
        <w:t>(Wen et al., 2007)</w:t>
      </w:r>
      <w:r w:rsidRPr="00AC29E4">
        <w:rPr>
          <w:rFonts w:cs="Times New Roman"/>
          <w:kern w:val="0"/>
          <w:szCs w:val="24"/>
          <w:lang w:eastAsia="en-US"/>
        </w:rPr>
        <w:t xml:space="preserve">, which are valuable insights companies can use to help protect themselves from the array of internal and external threats. Even the tools more commonly associated with network defense, such as firewalls and intrusion detection systems, provide organizations with log data that can be used to track the activities of their employees and that are included in the broad classification of EMS technologies. However, these technologies have also been shown to be stressful, cause emotional discomfort, and encroach on the privacy of employees beyond their comfort levels </w:t>
      </w:r>
      <w:r w:rsidRPr="00AC29E4">
        <w:rPr>
          <w:rFonts w:cs="Times New Roman"/>
          <w:noProof/>
          <w:kern w:val="0"/>
          <w:szCs w:val="24"/>
          <w:lang w:eastAsia="en-US"/>
        </w:rPr>
        <w:t>(Jeske &amp; Santuzzi, 2015; Kallman, 1993; Posey et al., 2011; Spitzmüller &amp; Stanton, 2006; Stanton, 2000; Stanton &amp; Stam, 2006)</w:t>
      </w:r>
      <w:r w:rsidRPr="00AC29E4">
        <w:rPr>
          <w:rFonts w:cs="Times New Roman"/>
          <w:kern w:val="0"/>
          <w:szCs w:val="24"/>
          <w:lang w:eastAsia="en-US"/>
        </w:rPr>
        <w:t xml:space="preserve">, leading to reduced job satisfaction, diminished productivity and morale, increased absenteeism, a lack of trust in the organization, and increased job turnover intention </w:t>
      </w:r>
      <w:r w:rsidRPr="00AC29E4">
        <w:rPr>
          <w:rFonts w:cs="Times New Roman"/>
          <w:noProof/>
          <w:kern w:val="0"/>
          <w:szCs w:val="24"/>
          <w:lang w:eastAsia="en-US"/>
        </w:rPr>
        <w:t>(D’Urso, 2006; Eddy et al., 1999)</w:t>
      </w:r>
      <w:r>
        <w:rPr>
          <w:rFonts w:cs="Times New Roman"/>
          <w:noProof/>
          <w:kern w:val="0"/>
          <w:szCs w:val="24"/>
          <w:lang w:eastAsia="en-US"/>
        </w:rPr>
        <w:t>.</w:t>
      </w:r>
      <w:r w:rsidR="00DF56B1">
        <w:rPr>
          <w:rFonts w:cs="Times New Roman"/>
          <w:kern w:val="0"/>
          <w:szCs w:val="24"/>
          <w:lang w:eastAsia="en-US"/>
        </w:rPr>
        <w:t xml:space="preserve"> </w:t>
      </w:r>
      <w:r w:rsidRPr="00AC29E4">
        <w:rPr>
          <w:rFonts w:cs="Times New Roman"/>
          <w:kern w:val="0"/>
          <w:szCs w:val="24"/>
          <w:lang w:eastAsia="en-US"/>
        </w:rPr>
        <w:t>Although prior research has enriched our understanding of employee reactions to EMS technologies, little is known about</w:t>
      </w:r>
    </w:p>
    <w:p w14:paraId="7B9E719D" w14:textId="040D5582" w:rsidR="003E5B95" w:rsidRDefault="003E5B95" w:rsidP="00DF56B1">
      <w:pPr>
        <w:spacing w:after="160"/>
        <w:contextualSpacing w:val="0"/>
        <w:rPr>
          <w:rFonts w:cs="Times New Roman"/>
          <w:kern w:val="0"/>
          <w:szCs w:val="24"/>
          <w:lang w:eastAsia="en-US"/>
        </w:rPr>
      </w:pPr>
      <w:r w:rsidRPr="00AC29E4">
        <w:rPr>
          <w:rFonts w:cs="Times New Roman"/>
          <w:kern w:val="0"/>
          <w:szCs w:val="24"/>
          <w:lang w:eastAsia="en-US"/>
        </w:rPr>
        <w:lastRenderedPageBreak/>
        <w:t xml:space="preserve"> how they affect the cybersecurity professionals who are charged with their application and maintenance. There is a lack of research providing an understanding of the experiences of cybersecurity professionals relating to their implementation of EMS technologies and how these implementations can be the source of stress in their jobs. It has been demonstrated that employees who are subjected to EMS technologies find such practices to be stressful </w:t>
      </w:r>
      <w:r w:rsidRPr="00AC29E4">
        <w:rPr>
          <w:rFonts w:cs="Times New Roman"/>
          <w:noProof/>
          <w:kern w:val="0"/>
          <w:szCs w:val="24"/>
          <w:lang w:eastAsia="en-US"/>
        </w:rPr>
        <w:t>(Posey et al., 2011; Wen et al., 2007)</w:t>
      </w:r>
      <w:r w:rsidRPr="00AC29E4">
        <w:rPr>
          <w:rFonts w:cs="Times New Roman"/>
          <w:kern w:val="0"/>
          <w:szCs w:val="24"/>
          <w:lang w:eastAsia="en-US"/>
        </w:rPr>
        <w:t xml:space="preserve">, but for those who are responsible for the implementation of the technologies, how they perceive stress in this environment is simply not known. </w:t>
      </w:r>
    </w:p>
    <w:p w14:paraId="5008C523" w14:textId="38BE70C7" w:rsidR="00F73967" w:rsidRDefault="003E5B95" w:rsidP="003E5B95">
      <w:pPr>
        <w:spacing w:after="160"/>
        <w:contextualSpacing w:val="0"/>
        <w:rPr>
          <w:rFonts w:cs="Times New Roman"/>
          <w:kern w:val="0"/>
          <w:szCs w:val="24"/>
          <w:lang w:eastAsia="en-US"/>
        </w:rPr>
      </w:pPr>
      <w:r w:rsidRPr="00AC29E4">
        <w:rPr>
          <w:rFonts w:cs="Times New Roman"/>
          <w:kern w:val="0"/>
          <w:szCs w:val="24"/>
          <w:lang w:eastAsia="en-US"/>
        </w:rPr>
        <w:t>However, understanding the impact of EMS technology implementation on cybersecurity professionals is vitally important not only to the profession itself</w:t>
      </w:r>
      <w:r>
        <w:rPr>
          <w:rFonts w:cs="Times New Roman"/>
          <w:kern w:val="0"/>
          <w:szCs w:val="24"/>
          <w:lang w:eastAsia="en-US"/>
        </w:rPr>
        <w:t xml:space="preserve"> </w:t>
      </w:r>
      <w:r w:rsidRPr="00AC29E4">
        <w:rPr>
          <w:rFonts w:cs="Times New Roman"/>
          <w:kern w:val="0"/>
          <w:szCs w:val="24"/>
          <w:lang w:eastAsia="en-US"/>
        </w:rPr>
        <w:t xml:space="preserve">but also to the success of organizational security programs. Cybersecurity jobs are generally regarded as stressful and associated with high turnover rates </w:t>
      </w:r>
      <w:r w:rsidRPr="00AC29E4">
        <w:rPr>
          <w:rFonts w:cs="Times New Roman"/>
          <w:noProof/>
          <w:kern w:val="0"/>
          <w:szCs w:val="24"/>
          <w:lang w:eastAsia="en-US"/>
        </w:rPr>
        <w:t>(Jon Oltsik, 2019; Jon Oltsik, 2019; Wolff, 2019)</w:t>
      </w:r>
      <w:r w:rsidRPr="00AC29E4">
        <w:rPr>
          <w:rFonts w:cs="Times New Roman"/>
          <w:kern w:val="0"/>
          <w:szCs w:val="24"/>
          <w:lang w:eastAsia="en-US"/>
        </w:rPr>
        <w:t xml:space="preserve">. It has even been suggested that because of the constantly evolving threat landscape, cybersecurity professionals face environments </w:t>
      </w:r>
      <w:proofErr w:type="gramStart"/>
      <w:r w:rsidRPr="00AC29E4">
        <w:rPr>
          <w:rFonts w:cs="Times New Roman"/>
          <w:kern w:val="0"/>
          <w:szCs w:val="24"/>
          <w:lang w:eastAsia="en-US"/>
        </w:rPr>
        <w:t>similar to</w:t>
      </w:r>
      <w:proofErr w:type="gramEnd"/>
      <w:r w:rsidRPr="00AC29E4">
        <w:rPr>
          <w:rFonts w:cs="Times New Roman"/>
          <w:kern w:val="0"/>
          <w:szCs w:val="24"/>
          <w:lang w:eastAsia="en-US"/>
        </w:rPr>
        <w:t xml:space="preserve"> modern-day war zones </w:t>
      </w:r>
      <w:r w:rsidRPr="00AC29E4">
        <w:rPr>
          <w:rFonts w:cs="Times New Roman"/>
          <w:noProof/>
          <w:kern w:val="0"/>
          <w:szCs w:val="24"/>
          <w:lang w:eastAsia="en-US"/>
        </w:rPr>
        <w:t>(Brody, 2019)</w:t>
      </w:r>
      <w:r w:rsidRPr="00AC29E4">
        <w:rPr>
          <w:rFonts w:cs="Times New Roman"/>
          <w:kern w:val="0"/>
          <w:szCs w:val="24"/>
          <w:lang w:eastAsia="en-US"/>
        </w:rPr>
        <w:t xml:space="preserve">. EMS technologies permit cybersecurity professionals to closely observe the physical and digital movements and activities of their colleagues, going so far as to even monitor their coworkers’ social media presence </w:t>
      </w:r>
      <w:r w:rsidRPr="00AC29E4">
        <w:rPr>
          <w:rFonts w:cs="Times New Roman"/>
          <w:noProof/>
          <w:kern w:val="0"/>
          <w:szCs w:val="24"/>
          <w:lang w:eastAsia="en-US"/>
        </w:rPr>
        <w:t>(Smith &amp; Tabak, 2009; Wen et al., 2007; Workman, 2009)</w:t>
      </w:r>
      <w:r w:rsidRPr="00AC29E4">
        <w:rPr>
          <w:rFonts w:cs="Times New Roman"/>
          <w:kern w:val="0"/>
          <w:szCs w:val="24"/>
          <w:lang w:eastAsia="en-US"/>
        </w:rPr>
        <w:t xml:space="preserve">. Along with the typical responsibilities associated with securing the needs of IT initiatives, overwhelming workloads, a general lack of cybersecurity staffing, a lack of management support, and responsibilities for monitoring the security status of third parties and their organizations </w:t>
      </w:r>
      <w:r w:rsidRPr="00AC29E4">
        <w:rPr>
          <w:rFonts w:cs="Times New Roman"/>
          <w:noProof/>
          <w:kern w:val="0"/>
          <w:szCs w:val="24"/>
          <w:lang w:eastAsia="en-US"/>
        </w:rPr>
        <w:t>(Jon Oltsik, 2019)</w:t>
      </w:r>
      <w:r w:rsidRPr="00AC29E4">
        <w:rPr>
          <w:rFonts w:cs="Times New Roman"/>
          <w:kern w:val="0"/>
          <w:szCs w:val="24"/>
          <w:lang w:eastAsia="en-US"/>
        </w:rPr>
        <w:t xml:space="preserve">, the responsibility for implementing and maintaining EMS technologies can have a stressful, devastating effect on cybersecurity professionals, but how, to what extent, and to what end? Against this backdrop, we ask the following: </w:t>
      </w:r>
    </w:p>
    <w:p w14:paraId="08797B84" w14:textId="27AAE2E8" w:rsidR="003E5B95" w:rsidRPr="002F5BAF" w:rsidRDefault="00F73967" w:rsidP="00F73967">
      <w:pPr>
        <w:ind w:left="360" w:firstLine="0"/>
        <w:rPr>
          <w:rFonts w:cs="Times New Roman"/>
          <w:b/>
          <w:bCs/>
          <w:i/>
          <w:szCs w:val="24"/>
        </w:rPr>
      </w:pPr>
      <w:r w:rsidRPr="002F5BAF">
        <w:rPr>
          <w:rFonts w:cs="Times New Roman"/>
          <w:b/>
          <w:bCs/>
          <w:i/>
          <w:szCs w:val="24"/>
        </w:rPr>
        <w:lastRenderedPageBreak/>
        <w:t xml:space="preserve">RQ) </w:t>
      </w:r>
      <w:r w:rsidR="003E5B95" w:rsidRPr="002F5BAF">
        <w:rPr>
          <w:rFonts w:cs="Times New Roman"/>
          <w:b/>
          <w:bCs/>
          <w:i/>
          <w:szCs w:val="24"/>
        </w:rPr>
        <w:t>How do cybersecurity professionals appraise EMS technologies as sources of stress, and how do these appraisals result in different behavioral outcomes within the profession?</w:t>
      </w:r>
    </w:p>
    <w:p w14:paraId="37842496"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Toward a first step in forming this understanding, we turn to the EMS research, as well as technostress and security-related stress (SRS) research streams </w:t>
      </w:r>
      <w:r w:rsidRPr="00AC29E4">
        <w:rPr>
          <w:rFonts w:cs="Times New Roman"/>
          <w:noProof/>
          <w:kern w:val="0"/>
          <w:szCs w:val="24"/>
          <w:lang w:eastAsia="en-US"/>
        </w:rPr>
        <w:t>(D'Arcy et al., 2014; D’Arcy &amp; Teh, 2019; Ragu-Nathan et al., 2008; Tarafdar et al., 2015)</w:t>
      </w:r>
      <w:r w:rsidRPr="00AC29E4">
        <w:rPr>
          <w:rFonts w:cs="Times New Roman"/>
          <w:kern w:val="0"/>
          <w:szCs w:val="24"/>
          <w:lang w:eastAsia="en-US"/>
        </w:rPr>
        <w:t xml:space="preserve">. We use </w:t>
      </w:r>
      <w:r>
        <w:rPr>
          <w:rFonts w:cs="Times New Roman"/>
          <w:kern w:val="0"/>
          <w:szCs w:val="24"/>
          <w:lang w:eastAsia="en-US"/>
        </w:rPr>
        <w:t xml:space="preserve">the </w:t>
      </w:r>
      <w:r w:rsidRPr="00AC29E4">
        <w:rPr>
          <w:rFonts w:cs="Times New Roman"/>
          <w:kern w:val="0"/>
          <w:szCs w:val="24"/>
          <w:lang w:eastAsia="en-US"/>
        </w:rPr>
        <w:t xml:space="preserve">transactional theory of stress as a theoretical lens to explore this phenomenon. Both </w:t>
      </w:r>
      <w:r>
        <w:rPr>
          <w:rFonts w:cs="Times New Roman"/>
          <w:kern w:val="0"/>
          <w:szCs w:val="24"/>
          <w:lang w:eastAsia="en-US"/>
        </w:rPr>
        <w:t xml:space="preserve">the </w:t>
      </w:r>
      <w:r w:rsidRPr="00AC29E4">
        <w:rPr>
          <w:rFonts w:cs="Times New Roman"/>
          <w:kern w:val="0"/>
          <w:szCs w:val="24"/>
          <w:lang w:eastAsia="en-US"/>
        </w:rPr>
        <w:t xml:space="preserve">transactional theory of stress and the technostress and SRS research streams can help provide a perspective on the development of stress as a function of technology and/or security-related engagements but do so uniquely. </w:t>
      </w:r>
      <w:r>
        <w:rPr>
          <w:rFonts w:cs="Times New Roman"/>
          <w:kern w:val="0"/>
          <w:szCs w:val="24"/>
          <w:lang w:eastAsia="en-US"/>
        </w:rPr>
        <w:t>The t</w:t>
      </w:r>
      <w:r w:rsidRPr="00AC29E4">
        <w:rPr>
          <w:rFonts w:cs="Times New Roman"/>
          <w:kern w:val="0"/>
          <w:szCs w:val="24"/>
          <w:lang w:eastAsia="en-US"/>
        </w:rPr>
        <w:t xml:space="preserve">ransactional theory of stress focuses on the formation of stress as an outcome of transactions between a person and his/her environment. The technostress and SRS literature leverage this theory to understand the effect of employees’ work environments (such as technology and the industry requirements for information security) on their behavior. </w:t>
      </w:r>
    </w:p>
    <w:p w14:paraId="637C59B8" w14:textId="23B8E828"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In the current study, we follow a mixed methods research design involving a sample of cybersecurity professionals in the United States (U.S.) to develop and test a contextualized version of </w:t>
      </w:r>
      <w:r>
        <w:rPr>
          <w:rFonts w:cs="Times New Roman"/>
          <w:kern w:val="0"/>
          <w:szCs w:val="24"/>
          <w:lang w:eastAsia="en-US"/>
        </w:rPr>
        <w:t xml:space="preserve">the </w:t>
      </w:r>
      <w:r w:rsidRPr="00AC29E4">
        <w:rPr>
          <w:rFonts w:cs="Times New Roman"/>
          <w:kern w:val="0"/>
          <w:szCs w:val="24"/>
          <w:lang w:eastAsia="en-US"/>
        </w:rPr>
        <w:t>transactional theory of stress and coping, which is referred to as the demand appraisal model (DAM). DAM represents a new perspective for explaining the formation of stress among cybersecurity professionals and their strategies for coping and savoring it. Tests of the model show that a given demand is not always negative; rather, it can lead to positive psychological experience in the form of</w:t>
      </w:r>
      <w:r w:rsidR="00E7361E">
        <w:rPr>
          <w:rFonts w:cs="Times New Roman"/>
          <w:kern w:val="0"/>
          <w:szCs w:val="24"/>
          <w:lang w:eastAsia="en-US"/>
        </w:rPr>
        <w:t xml:space="preserve"> </w:t>
      </w:r>
      <w:r w:rsidRPr="00AC29E4">
        <w:rPr>
          <w:rFonts w:cs="Times New Roman"/>
          <w:kern w:val="0"/>
          <w:szCs w:val="24"/>
          <w:lang w:eastAsia="en-US"/>
        </w:rPr>
        <w:t xml:space="preserve">challenge stress based on one’s dispositions. One may experience a differing magnitude of </w:t>
      </w:r>
      <w:r>
        <w:rPr>
          <w:rFonts w:cs="Times New Roman"/>
          <w:kern w:val="0"/>
          <w:szCs w:val="24"/>
          <w:lang w:eastAsia="en-US"/>
        </w:rPr>
        <w:t xml:space="preserve">the </w:t>
      </w:r>
      <w:r w:rsidRPr="00AC29E4">
        <w:rPr>
          <w:rFonts w:cs="Times New Roman"/>
          <w:kern w:val="0"/>
          <w:szCs w:val="24"/>
          <w:lang w:eastAsia="en-US"/>
        </w:rPr>
        <w:t xml:space="preserve">challenge and hindrance stress because of demand appraisals, which ultimately determine stress responses from his/her engagement in problem-focused savoring and emotion-focused coping. </w:t>
      </w:r>
    </w:p>
    <w:p w14:paraId="348ACFC5" w14:textId="77777777" w:rsidR="003E5B95" w:rsidRPr="00DF56B1" w:rsidRDefault="003E5B95" w:rsidP="003E5B95">
      <w:pPr>
        <w:pStyle w:val="Heading1"/>
        <w:rPr>
          <w:b/>
          <w:bCs/>
          <w:lang w:eastAsia="en-US"/>
        </w:rPr>
      </w:pPr>
      <w:bookmarkStart w:id="174" w:name="_Toc74045239"/>
      <w:bookmarkStart w:id="175" w:name="_Toc74087524"/>
      <w:bookmarkStart w:id="176" w:name="_Toc74258640"/>
      <w:r w:rsidRPr="00DF56B1">
        <w:rPr>
          <w:b/>
          <w:bCs/>
          <w:lang w:eastAsia="en-US"/>
        </w:rPr>
        <w:lastRenderedPageBreak/>
        <w:t>THEORETICAL BACKGROUND</w:t>
      </w:r>
      <w:bookmarkEnd w:id="174"/>
      <w:bookmarkEnd w:id="175"/>
      <w:bookmarkEnd w:id="176"/>
    </w:p>
    <w:p w14:paraId="4C518FEF"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Perhaps the best lens through which to understand how cybersecurity professionals appraise EMS technologies as sources of stress and how these appraisals result in different behavioral outcomes is </w:t>
      </w:r>
      <w:r>
        <w:rPr>
          <w:rFonts w:cs="Times New Roman"/>
          <w:kern w:val="0"/>
          <w:szCs w:val="24"/>
          <w:lang w:eastAsia="en-US"/>
        </w:rPr>
        <w:t xml:space="preserve">the </w:t>
      </w:r>
      <w:r w:rsidRPr="00AC29E4">
        <w:rPr>
          <w:rFonts w:cs="Times New Roman"/>
          <w:kern w:val="0"/>
          <w:szCs w:val="24"/>
          <w:lang w:eastAsia="en-US"/>
        </w:rPr>
        <w:t>transactional theory of stress and its further elaboration in the form of the challenge–hindrance framework by Cavanaugh et al. (2000).</w:t>
      </w:r>
    </w:p>
    <w:p w14:paraId="700B95B8" w14:textId="77777777" w:rsidR="003E5B95" w:rsidRPr="00AC29E4" w:rsidRDefault="003E5B95" w:rsidP="003E5B95">
      <w:pPr>
        <w:pStyle w:val="Heading2"/>
        <w:rPr>
          <w:lang w:eastAsia="en-US"/>
        </w:rPr>
      </w:pPr>
      <w:bookmarkStart w:id="177" w:name="_Toc74045240"/>
      <w:bookmarkStart w:id="178" w:name="_Toc74087525"/>
      <w:bookmarkStart w:id="179" w:name="_Toc74258641"/>
      <w:r>
        <w:rPr>
          <w:lang w:eastAsia="en-US"/>
        </w:rPr>
        <w:t xml:space="preserve">The </w:t>
      </w:r>
      <w:r w:rsidRPr="00AC29E4">
        <w:rPr>
          <w:lang w:eastAsia="en-US"/>
        </w:rPr>
        <w:t>Transactional Theory of Stress</w:t>
      </w:r>
      <w:bookmarkEnd w:id="177"/>
      <w:bookmarkEnd w:id="178"/>
      <w:bookmarkEnd w:id="179"/>
    </w:p>
    <w:p w14:paraId="077BA224" w14:textId="0ACDEAC1" w:rsidR="003E5B95" w:rsidRDefault="003E5B95" w:rsidP="003E5B95">
      <w:pPr>
        <w:keepNext/>
        <w:spacing w:after="160"/>
        <w:contextualSpacing w:val="0"/>
        <w:rPr>
          <w:rFonts w:cs="Times New Roman"/>
          <w:kern w:val="0"/>
          <w:szCs w:val="24"/>
          <w:lang w:eastAsia="en-US"/>
        </w:rPr>
      </w:pPr>
      <w:r>
        <w:rPr>
          <w:rFonts w:cs="Times New Roman"/>
          <w:kern w:val="0"/>
          <w:szCs w:val="24"/>
          <w:lang w:eastAsia="en-US"/>
        </w:rPr>
        <w:t>The t</w:t>
      </w:r>
      <w:r w:rsidRPr="00AC29E4">
        <w:rPr>
          <w:rFonts w:cs="Times New Roman"/>
          <w:kern w:val="0"/>
          <w:szCs w:val="24"/>
          <w:lang w:eastAsia="en-US"/>
        </w:rPr>
        <w:t xml:space="preserve">ransactional theory of stress suggests that stress is not a characteristic of a person or the environment per se but rather a transaction between the two, where the environment and an individual interact with each other to create a new condition: stress </w:t>
      </w:r>
      <w:r w:rsidRPr="00AC29E4">
        <w:rPr>
          <w:rFonts w:cs="Times New Roman"/>
          <w:noProof/>
          <w:kern w:val="0"/>
          <w:szCs w:val="24"/>
          <w:lang w:eastAsia="en-US"/>
        </w:rPr>
        <w:t>(Lazarus &amp; Folkman, 1984; Lazarus &amp; Folkman, 1987)</w:t>
      </w:r>
      <w:r w:rsidRPr="00AC29E4">
        <w:rPr>
          <w:rFonts w:cs="Times New Roman"/>
          <w:kern w:val="0"/>
          <w:szCs w:val="24"/>
          <w:lang w:eastAsia="en-US"/>
        </w:rPr>
        <w:t xml:space="preserve">. This transaction involves two important phases: a cognitive appraisal and a coping response. A cognitive appraisal represents a two-stage process of categorizing a demand or encounter with respect to its significance or relevance to one’s well-being </w:t>
      </w:r>
      <w:r w:rsidRPr="00AC29E4">
        <w:rPr>
          <w:rFonts w:cs="Times New Roman"/>
          <w:noProof/>
          <w:kern w:val="0"/>
          <w:szCs w:val="24"/>
          <w:lang w:eastAsia="en-US"/>
        </w:rPr>
        <w:t>(Lazarus &amp; Folkman, 1984)</w:t>
      </w:r>
      <w:r w:rsidRPr="00AC29E4">
        <w:rPr>
          <w:rFonts w:cs="Times New Roman"/>
          <w:kern w:val="0"/>
          <w:szCs w:val="24"/>
          <w:lang w:eastAsia="en-US"/>
        </w:rPr>
        <w:t xml:space="preserve">. The stages within this process are referred to as primary and secondary appraisals. During a primary appraisal, an individual determines the relevance of a demand with respect to his/her goals </w:t>
      </w:r>
      <w:r w:rsidRPr="00AC29E4">
        <w:rPr>
          <w:rFonts w:cs="Times New Roman"/>
          <w:noProof/>
          <w:kern w:val="0"/>
          <w:szCs w:val="24"/>
          <w:lang w:eastAsia="en-US"/>
        </w:rPr>
        <w:t>(Lazarus &amp; Folkman, 1987)</w:t>
      </w:r>
      <w:r w:rsidRPr="00AC29E4">
        <w:rPr>
          <w:rFonts w:cs="Times New Roman"/>
          <w:kern w:val="0"/>
          <w:szCs w:val="24"/>
          <w:lang w:eastAsia="en-US"/>
        </w:rPr>
        <w:t xml:space="preserve">. If the demand is appraised as irrelevant, with no personal significance to one’s goals, it is ignored; hence, there are no responses associated with it. However, if the demand is appraised as relevant, with the potential to have a direct and measurable impact on one’s goals, it goes through the secondary appraisal process, whereby it is further evaluated based on the extent to which it is controllable. </w:t>
      </w:r>
    </w:p>
    <w:p w14:paraId="2D0800F1" w14:textId="62F67D4F"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Based on </w:t>
      </w:r>
      <w:r>
        <w:rPr>
          <w:rFonts w:cs="Times New Roman"/>
          <w:kern w:val="0"/>
          <w:szCs w:val="24"/>
          <w:lang w:eastAsia="en-US"/>
        </w:rPr>
        <w:t xml:space="preserve">the </w:t>
      </w:r>
      <w:r w:rsidRPr="00AC29E4">
        <w:rPr>
          <w:rFonts w:cs="Times New Roman"/>
          <w:kern w:val="0"/>
          <w:szCs w:val="24"/>
          <w:lang w:eastAsia="en-US"/>
        </w:rPr>
        <w:t xml:space="preserve">transaction theory of stress, Cavanaugh et al. (2000) described their challenge and hindrance stress framework (CHF), which presents demands such as challenge stressors and/or hindrance stressors and their associated psychological responses as </w:t>
      </w:r>
      <w:r w:rsidR="00E7361E">
        <w:rPr>
          <w:rFonts w:cs="Times New Roman"/>
          <w:kern w:val="0"/>
          <w:szCs w:val="24"/>
          <w:lang w:eastAsia="en-US"/>
        </w:rPr>
        <w:t xml:space="preserve">a </w:t>
      </w:r>
      <w:r w:rsidRPr="00AC29E4">
        <w:rPr>
          <w:rFonts w:cs="Times New Roman"/>
          <w:kern w:val="0"/>
          <w:szCs w:val="24"/>
          <w:lang w:eastAsia="en-US"/>
        </w:rPr>
        <w:t xml:space="preserve">challenge and/or hindrance stress. Challenge stressors are demands in the workplace that tend to be appraised as </w:t>
      </w:r>
      <w:r w:rsidRPr="00AC29E4">
        <w:rPr>
          <w:rFonts w:cs="Times New Roman"/>
          <w:kern w:val="0"/>
          <w:szCs w:val="24"/>
          <w:lang w:eastAsia="en-US"/>
        </w:rPr>
        <w:lastRenderedPageBreak/>
        <w:t>facilitating the accomplishment of job tasks and personal development</w:t>
      </w:r>
      <w:r w:rsidR="00E7361E">
        <w:rPr>
          <w:rFonts w:cs="Times New Roman"/>
          <w:kern w:val="0"/>
          <w:szCs w:val="24"/>
          <w:lang w:eastAsia="en-US"/>
        </w:rPr>
        <w:t xml:space="preserve">. In contrast </w:t>
      </w:r>
      <w:r w:rsidRPr="00AC29E4">
        <w:rPr>
          <w:rFonts w:cs="Times New Roman"/>
          <w:kern w:val="0"/>
          <w:szCs w:val="24"/>
          <w:lang w:eastAsia="en-US"/>
        </w:rPr>
        <w:t>hindrance stressors are demands in the workplace that tend to be appraised as barriers or obstacles to the accomplishment of job tasks and personal development (Hargrove et al.</w:t>
      </w:r>
      <w:r w:rsidR="00A87683">
        <w:rPr>
          <w:rFonts w:cs="Times New Roman"/>
          <w:kern w:val="0"/>
          <w:szCs w:val="24"/>
          <w:lang w:eastAsia="en-US"/>
        </w:rPr>
        <w:t>,</w:t>
      </w:r>
      <w:r w:rsidRPr="00AC29E4">
        <w:rPr>
          <w:rFonts w:cs="Times New Roman"/>
          <w:kern w:val="0"/>
          <w:szCs w:val="24"/>
          <w:lang w:eastAsia="en-US"/>
        </w:rPr>
        <w:t xml:space="preserve"> 2013; </w:t>
      </w:r>
      <w:proofErr w:type="spellStart"/>
      <w:r w:rsidRPr="00AC29E4">
        <w:rPr>
          <w:rFonts w:cs="Times New Roman"/>
          <w:kern w:val="0"/>
          <w:szCs w:val="24"/>
          <w:lang w:eastAsia="en-US"/>
        </w:rPr>
        <w:t>LePine</w:t>
      </w:r>
      <w:proofErr w:type="spellEnd"/>
      <w:r w:rsidRPr="00AC29E4">
        <w:rPr>
          <w:rFonts w:cs="Times New Roman"/>
          <w:kern w:val="0"/>
          <w:szCs w:val="24"/>
          <w:lang w:eastAsia="en-US"/>
        </w:rPr>
        <w:t xml:space="preserve"> et al.</w:t>
      </w:r>
      <w:r w:rsidR="00A87683">
        <w:rPr>
          <w:rFonts w:cs="Times New Roman"/>
          <w:kern w:val="0"/>
          <w:szCs w:val="24"/>
          <w:lang w:eastAsia="en-US"/>
        </w:rPr>
        <w:t>,</w:t>
      </w:r>
      <w:r w:rsidRPr="00AC29E4">
        <w:rPr>
          <w:rFonts w:cs="Times New Roman"/>
          <w:kern w:val="0"/>
          <w:szCs w:val="24"/>
          <w:lang w:eastAsia="en-US"/>
        </w:rPr>
        <w:t xml:space="preserve"> 2004; </w:t>
      </w:r>
      <w:proofErr w:type="spellStart"/>
      <w:r w:rsidRPr="00AC29E4">
        <w:rPr>
          <w:rFonts w:cs="Times New Roman"/>
          <w:kern w:val="0"/>
          <w:szCs w:val="24"/>
          <w:lang w:eastAsia="en-US"/>
        </w:rPr>
        <w:t>LePine</w:t>
      </w:r>
      <w:proofErr w:type="spellEnd"/>
      <w:r w:rsidRPr="00AC29E4">
        <w:rPr>
          <w:rFonts w:cs="Times New Roman"/>
          <w:kern w:val="0"/>
          <w:szCs w:val="24"/>
          <w:lang w:eastAsia="en-US"/>
        </w:rPr>
        <w:t xml:space="preserve"> et al.</w:t>
      </w:r>
      <w:r w:rsidR="00A87683">
        <w:rPr>
          <w:rFonts w:cs="Times New Roman"/>
          <w:kern w:val="0"/>
          <w:szCs w:val="24"/>
          <w:lang w:eastAsia="en-US"/>
        </w:rPr>
        <w:t>,</w:t>
      </w:r>
      <w:r w:rsidRPr="00AC29E4">
        <w:rPr>
          <w:rFonts w:cs="Times New Roman"/>
          <w:kern w:val="0"/>
          <w:szCs w:val="24"/>
          <w:lang w:eastAsia="en-US"/>
        </w:rPr>
        <w:t xml:space="preserve"> 2005). </w:t>
      </w:r>
    </w:p>
    <w:p w14:paraId="2718EA6E" w14:textId="77777777"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Work overload, high levels of responsibility, time pressures, job scope, and job complexity are a few examples of challenge stressors </w:t>
      </w:r>
      <w:r w:rsidRPr="00AC29E4">
        <w:rPr>
          <w:rFonts w:cs="Times New Roman"/>
          <w:noProof/>
          <w:kern w:val="0"/>
          <w:szCs w:val="24"/>
          <w:lang w:eastAsia="en-US"/>
        </w:rPr>
        <w:t>(Cavanaugh et al., 2000; LePine et al., 2005; Podsakoff et al., 2007)</w:t>
      </w:r>
      <w:r w:rsidRPr="00AC29E4">
        <w:rPr>
          <w:rFonts w:cs="Times New Roman"/>
          <w:kern w:val="0"/>
          <w:szCs w:val="24"/>
          <w:lang w:eastAsia="en-US"/>
        </w:rPr>
        <w:t xml:space="preserve">. Role conflict, role ambiguity, role overload, organizational politics, red tape, concerns about job security, interpersonal conflict, resource inadequacy, hassle, supervisor-related stress, and interpersonal conflict are a few examples of hindrance stressors </w:t>
      </w:r>
      <w:r w:rsidRPr="00AC29E4">
        <w:rPr>
          <w:rFonts w:cs="Times New Roman"/>
          <w:noProof/>
          <w:kern w:val="0"/>
          <w:szCs w:val="24"/>
          <w:lang w:eastAsia="en-US"/>
        </w:rPr>
        <w:t>(Cavanaugh et al., 2000; Demerouti &amp; Bakker, 2011; LePine et al., 2005)</w:t>
      </w:r>
      <w:r w:rsidRPr="00AC29E4">
        <w:rPr>
          <w:rFonts w:cs="Times New Roman"/>
          <w:kern w:val="0"/>
          <w:szCs w:val="24"/>
          <w:lang w:eastAsia="en-US"/>
        </w:rPr>
        <w:t xml:space="preserve">. Challenge stress is associated with the stressors that are appraised as promoting mastery, personal growth, or future gains, whereas hindrance stress is experienced in the event of an undesirable constraint that interferes with ones’ ability to achieve one’s valued goals </w:t>
      </w:r>
      <w:r w:rsidRPr="00AC29E4">
        <w:rPr>
          <w:rFonts w:cs="Times New Roman"/>
          <w:noProof/>
          <w:kern w:val="0"/>
          <w:szCs w:val="24"/>
          <w:lang w:eastAsia="en-US"/>
        </w:rPr>
        <w:t>(Cavanaugh et al., 2000; LePine et al., 2004)</w:t>
      </w:r>
      <w:r w:rsidRPr="00AC29E4">
        <w:rPr>
          <w:rFonts w:cs="Times New Roman"/>
          <w:kern w:val="0"/>
          <w:szCs w:val="24"/>
          <w:lang w:eastAsia="en-US"/>
        </w:rPr>
        <w:t xml:space="preserve">. </w:t>
      </w:r>
    </w:p>
    <w:p w14:paraId="01E63F61" w14:textId="77777777" w:rsidR="003E5B95" w:rsidRPr="00AC29E4"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Although the CHF has gained scholarly attention, a recent meta-analysis shows that the CHF lacks empirical validity when examining the relationship between the challenge and hindrance stressors affecting personal- or organizational-level outcomes </w:t>
      </w:r>
      <w:r w:rsidRPr="00AC29E4">
        <w:rPr>
          <w:rFonts w:cs="Times New Roman"/>
          <w:noProof/>
          <w:kern w:val="0"/>
          <w:szCs w:val="24"/>
          <w:lang w:eastAsia="en-US"/>
        </w:rPr>
        <w:t>(Mazzola &amp; Disselhorst, 2019)</w:t>
      </w:r>
      <w:r w:rsidRPr="00AC29E4">
        <w:rPr>
          <w:rFonts w:cs="Times New Roman"/>
          <w:kern w:val="0"/>
          <w:szCs w:val="24"/>
          <w:lang w:eastAsia="en-US"/>
        </w:rPr>
        <w:t xml:space="preserve">. Specifically, this meta-analysis suggests one key limitation of this framework: it undermines a demand appraisal in the stress process and explicitly or implicitly asserts that people make the same appraisal of a demand across various situations. This key assumption of the CHF also opposes </w:t>
      </w:r>
      <w:r w:rsidRPr="00AC29E4">
        <w:rPr>
          <w:rFonts w:cs="Times New Roman"/>
          <w:noProof/>
          <w:kern w:val="0"/>
          <w:szCs w:val="24"/>
          <w:lang w:eastAsia="en-US"/>
        </w:rPr>
        <w:t>Lazarus and Folkman (1987)</w:t>
      </w:r>
      <w:r w:rsidRPr="00AC29E4">
        <w:rPr>
          <w:rFonts w:cs="Times New Roman"/>
          <w:kern w:val="0"/>
          <w:szCs w:val="24"/>
          <w:lang w:eastAsia="en-US"/>
        </w:rPr>
        <w:t xml:space="preserve"> key assertion in </w:t>
      </w:r>
      <w:r>
        <w:rPr>
          <w:rFonts w:cs="Times New Roman"/>
          <w:kern w:val="0"/>
          <w:szCs w:val="24"/>
          <w:lang w:eastAsia="en-US"/>
        </w:rPr>
        <w:t xml:space="preserve">the </w:t>
      </w:r>
      <w:r w:rsidRPr="00AC29E4">
        <w:rPr>
          <w:rFonts w:cs="Times New Roman"/>
          <w:kern w:val="0"/>
          <w:szCs w:val="24"/>
          <w:lang w:eastAsia="en-US"/>
        </w:rPr>
        <w:t xml:space="preserve">transactional theory of stress, which emphasizes the role of an individual’s cognitive appraisal in the stress process. From a CHF perspective, certain demands are categorized as challenge stressors, while others are categorized as hindrance stressors. Refuting the CHF’s assumption, </w:t>
      </w:r>
      <w:r w:rsidRPr="00AC29E4">
        <w:rPr>
          <w:rFonts w:cs="Times New Roman"/>
          <w:noProof/>
          <w:kern w:val="0"/>
          <w:szCs w:val="24"/>
          <w:lang w:eastAsia="en-US"/>
        </w:rPr>
        <w:t>Webster et al. (2011)</w:t>
      </w:r>
      <w:r w:rsidRPr="00AC29E4">
        <w:rPr>
          <w:rFonts w:cs="Times New Roman"/>
          <w:kern w:val="0"/>
          <w:szCs w:val="24"/>
          <w:lang w:eastAsia="en-US"/>
        </w:rPr>
        <w:t xml:space="preserve"> show that work </w:t>
      </w:r>
      <w:r w:rsidRPr="00AC29E4">
        <w:rPr>
          <w:rFonts w:cs="Times New Roman"/>
          <w:kern w:val="0"/>
          <w:szCs w:val="24"/>
          <w:lang w:eastAsia="en-US"/>
        </w:rPr>
        <w:lastRenderedPageBreak/>
        <w:t xml:space="preserve">overload can primarily be apprised as a challenge stressor and that role ambiguity and role conflict can be appraised as hindrance stressors; however, they can also be simultaneously appraised as both challenge and hindrance stressors to varying degrees. </w:t>
      </w:r>
    </w:p>
    <w:p w14:paraId="791A0F4D" w14:textId="77777777" w:rsidR="003E5B95" w:rsidRPr="00DF56B1" w:rsidRDefault="003E5B95" w:rsidP="003E5B95">
      <w:pPr>
        <w:pStyle w:val="Heading1"/>
        <w:rPr>
          <w:b/>
          <w:bCs/>
          <w:lang w:eastAsia="en-US"/>
        </w:rPr>
      </w:pPr>
      <w:bookmarkStart w:id="180" w:name="_Toc74045241"/>
      <w:bookmarkStart w:id="181" w:name="_Toc74087526"/>
      <w:bookmarkStart w:id="182" w:name="_Toc74258642"/>
      <w:r w:rsidRPr="00DF56B1">
        <w:rPr>
          <w:b/>
          <w:bCs/>
          <w:lang w:eastAsia="en-US"/>
        </w:rPr>
        <w:t>THEORIZING THE DEMAND APPRAISAL MODEL</w:t>
      </w:r>
      <w:bookmarkEnd w:id="180"/>
      <w:bookmarkEnd w:id="181"/>
      <w:bookmarkEnd w:id="182"/>
    </w:p>
    <w:p w14:paraId="77C9FD79"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Because </w:t>
      </w:r>
      <w:r>
        <w:rPr>
          <w:rFonts w:cs="Times New Roman"/>
          <w:kern w:val="0"/>
          <w:szCs w:val="24"/>
          <w:lang w:eastAsia="en-US"/>
        </w:rPr>
        <w:t xml:space="preserve">the </w:t>
      </w:r>
      <w:r w:rsidRPr="00AC29E4">
        <w:rPr>
          <w:rFonts w:cs="Times New Roman"/>
          <w:kern w:val="0"/>
          <w:szCs w:val="24"/>
          <w:lang w:eastAsia="en-US"/>
        </w:rPr>
        <w:t>transactional theory of stress originates in the literature on psychology and its application to the study of cybersecurity-related phenomena—much less to the study of the imposition of technology on others—its use has been limited,</w:t>
      </w:r>
      <w:r w:rsidRPr="00AC29E4">
        <w:rPr>
          <w:rFonts w:asciiTheme="minorHAnsi" w:hAnsiTheme="minorHAnsi"/>
          <w:kern w:val="0"/>
          <w:sz w:val="22"/>
          <w:szCs w:val="22"/>
          <w:vertAlign w:val="superscript"/>
          <w:lang w:eastAsia="en-US"/>
        </w:rPr>
        <w:footnoteReference w:id="8"/>
      </w:r>
      <w:r w:rsidRPr="00AC29E4">
        <w:rPr>
          <w:rFonts w:cs="Times New Roman"/>
          <w:kern w:val="0"/>
          <w:szCs w:val="24"/>
          <w:vertAlign w:val="superscript"/>
          <w:lang w:eastAsia="en-US"/>
        </w:rPr>
        <w:t xml:space="preserve"> </w:t>
      </w:r>
      <w:r w:rsidRPr="00AC29E4">
        <w:rPr>
          <w:rFonts w:cs="Times New Roman"/>
          <w:kern w:val="0"/>
          <w:szCs w:val="24"/>
          <w:lang w:eastAsia="en-US"/>
        </w:rPr>
        <w:t xml:space="preserve">which means that a careful contextualization of the theory is warranted. The goal of this contextualization process is to arrive at a model that is consistent with the demands that cybersecurity professionals engage in when implementing and maintaining EMS technologies; this form of contextualization is referred to as a level two contextualization by Hong et al. (2013). </w:t>
      </w:r>
    </w:p>
    <w:p w14:paraId="1B0E0F82"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As a preliminary step in the contextualization process, we can inspect the characteristics of the context that may serve to refine</w:t>
      </w:r>
      <w:r>
        <w:rPr>
          <w:rFonts w:cs="Times New Roman"/>
          <w:kern w:val="0"/>
          <w:szCs w:val="24"/>
          <w:lang w:eastAsia="en-US"/>
        </w:rPr>
        <w:t xml:space="preserve"> the</w:t>
      </w:r>
      <w:r w:rsidRPr="00AC29E4">
        <w:rPr>
          <w:rFonts w:cs="Times New Roman"/>
          <w:kern w:val="0"/>
          <w:szCs w:val="24"/>
          <w:lang w:eastAsia="en-US"/>
        </w:rPr>
        <w:t xml:space="preserve"> transactional theory of stress to our context of interest. First, because the focus of our research is cybersecurity professionals engaged in the implementation and/or maintenance of EMS technologies as part of their professional responsibilities, a lexicon that reflects the types of demands and stress-related outcomes consistent with the literature on job-related stress is warranted. As mentioned earlier, rooted in </w:t>
      </w:r>
      <w:r>
        <w:rPr>
          <w:rFonts w:cs="Times New Roman"/>
          <w:kern w:val="0"/>
          <w:szCs w:val="24"/>
          <w:lang w:eastAsia="en-US"/>
        </w:rPr>
        <w:t xml:space="preserve">the </w:t>
      </w:r>
      <w:r w:rsidRPr="00AC29E4">
        <w:rPr>
          <w:rFonts w:cs="Times New Roman"/>
          <w:kern w:val="0"/>
          <w:szCs w:val="24"/>
          <w:lang w:eastAsia="en-US"/>
        </w:rPr>
        <w:t xml:space="preserve">transactional theory of stress is the CHF, which provides just such a lexicon </w:t>
      </w:r>
      <w:r w:rsidRPr="00AC29E4">
        <w:rPr>
          <w:rFonts w:cs="Times New Roman"/>
          <w:noProof/>
          <w:kern w:val="0"/>
          <w:szCs w:val="24"/>
          <w:lang w:eastAsia="en-US"/>
        </w:rPr>
        <w:t>(Cavanaugh et al., 2000; LePine et al., 2004; LePine et al., 2005; Podsakoff et al., 2007)</w:t>
      </w:r>
      <w:r w:rsidRPr="00AC29E4">
        <w:rPr>
          <w:rFonts w:cs="Times New Roman"/>
          <w:kern w:val="0"/>
          <w:szCs w:val="24"/>
          <w:lang w:eastAsia="en-US"/>
        </w:rPr>
        <w:t xml:space="preserve">, but with some refinement. Considering the limitations of CHF, as discussed earlier, where demands are </w:t>
      </w:r>
      <w:r w:rsidRPr="00AC29E4">
        <w:rPr>
          <w:rFonts w:cs="Times New Roman"/>
          <w:kern w:val="0"/>
          <w:szCs w:val="24"/>
          <w:lang w:eastAsia="en-US"/>
        </w:rPr>
        <w:lastRenderedPageBreak/>
        <w:t xml:space="preserve">uniformly appraised as challenge or hindrance stressors, we explicitly related it back to </w:t>
      </w:r>
      <w:r>
        <w:rPr>
          <w:rFonts w:cs="Times New Roman"/>
          <w:kern w:val="0"/>
          <w:szCs w:val="24"/>
          <w:lang w:eastAsia="en-US"/>
        </w:rPr>
        <w:t xml:space="preserve">the </w:t>
      </w:r>
      <w:r w:rsidRPr="00AC29E4">
        <w:rPr>
          <w:rFonts w:cs="Times New Roman"/>
          <w:kern w:val="0"/>
          <w:szCs w:val="24"/>
          <w:lang w:eastAsia="en-US"/>
        </w:rPr>
        <w:t xml:space="preserve">transactional theory of stress, focusing on the demand appraisal process. </w:t>
      </w:r>
    </w:p>
    <w:p w14:paraId="0575AE25"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To form the DAM, we leverage the CHF and apply the terminology of challenge and hindrance stress as demand appraisal outcomes (see Appendix </w:t>
      </w:r>
      <w:r>
        <w:rPr>
          <w:rFonts w:cs="Times New Roman"/>
          <w:kern w:val="0"/>
          <w:szCs w:val="24"/>
          <w:lang w:eastAsia="en-US"/>
        </w:rPr>
        <w:t>D</w:t>
      </w:r>
      <w:r w:rsidRPr="00AC29E4">
        <w:rPr>
          <w:rFonts w:cs="Times New Roman"/>
          <w:kern w:val="0"/>
          <w:szCs w:val="24"/>
          <w:lang w:eastAsia="en-US"/>
        </w:rPr>
        <w:t xml:space="preserve">, Table </w:t>
      </w:r>
      <w:r>
        <w:rPr>
          <w:rFonts w:cs="Times New Roman"/>
          <w:kern w:val="0"/>
          <w:szCs w:val="24"/>
          <w:lang w:eastAsia="en-US"/>
        </w:rPr>
        <w:t>D</w:t>
      </w:r>
      <w:r w:rsidRPr="00AC29E4">
        <w:rPr>
          <w:rFonts w:cs="Times New Roman"/>
          <w:kern w:val="0"/>
          <w:szCs w:val="24"/>
          <w:lang w:eastAsia="en-US"/>
        </w:rPr>
        <w:t>1 for construct definitions). Broadly, in DAM, to avoid any assumptions that stressors are only of the negative sort, we refer to EMS technologies as demands. We then refer to appraised demands as stressors associated with either challenge and/or hindrance stress. Based on this preliminary step of theory contextualization, a conceptual model for demand appraisal emerges that delineates the two subprocesses for</w:t>
      </w:r>
      <w:r>
        <w:rPr>
          <w:rFonts w:cs="Times New Roman"/>
          <w:kern w:val="0"/>
          <w:szCs w:val="24"/>
          <w:lang w:eastAsia="en-US"/>
        </w:rPr>
        <w:t xml:space="preserve"> the</w:t>
      </w:r>
      <w:r w:rsidRPr="00AC29E4">
        <w:rPr>
          <w:rFonts w:cs="Times New Roman"/>
          <w:kern w:val="0"/>
          <w:szCs w:val="24"/>
          <w:lang w:eastAsia="en-US"/>
        </w:rPr>
        <w:t xml:space="preserve"> challenge and hindrance stress formulation and their associated savoring and coping responses, respectively (Figure </w:t>
      </w:r>
      <w:r>
        <w:rPr>
          <w:rFonts w:cs="Times New Roman"/>
          <w:kern w:val="0"/>
          <w:szCs w:val="24"/>
          <w:lang w:eastAsia="en-US"/>
        </w:rPr>
        <w:t>3</w:t>
      </w:r>
      <w:r w:rsidRPr="00AC29E4">
        <w:rPr>
          <w:rFonts w:cs="Times New Roman"/>
          <w:kern w:val="0"/>
          <w:szCs w:val="24"/>
          <w:lang w:eastAsia="en-US"/>
        </w:rPr>
        <w:t xml:space="preserve">). Although still devoid of context-specific factors that can serve to further refine the model, this conceptual model divides the appraisal of EMS demands into two stages and their associated psychological outcomes in a third stage. Here, the outcome of one stage is the building block of the following stage. </w:t>
      </w:r>
    </w:p>
    <w:p w14:paraId="0EA67299" w14:textId="77777777" w:rsidR="003E5B95" w:rsidRDefault="003E5B95" w:rsidP="003E5B95">
      <w:pPr>
        <w:pStyle w:val="Caption"/>
        <w:keepNext/>
        <w:spacing w:line="480" w:lineRule="auto"/>
        <w:rPr>
          <w:sz w:val="24"/>
          <w:szCs w:val="24"/>
        </w:rPr>
      </w:pPr>
      <w:bookmarkStart w:id="183" w:name="_Toc73955279"/>
      <w:r w:rsidRPr="007E79DD">
        <w:rPr>
          <w:sz w:val="24"/>
          <w:szCs w:val="24"/>
        </w:rPr>
        <w:lastRenderedPageBreak/>
        <w:t xml:space="preserve">Figure </w:t>
      </w:r>
      <w:r w:rsidRPr="007E79DD">
        <w:rPr>
          <w:sz w:val="24"/>
          <w:szCs w:val="24"/>
        </w:rPr>
        <w:fldChar w:fldCharType="begin"/>
      </w:r>
      <w:r w:rsidRPr="007E79DD">
        <w:rPr>
          <w:sz w:val="24"/>
          <w:szCs w:val="24"/>
        </w:rPr>
        <w:instrText xml:space="preserve"> SEQ Figure \* ARABIC </w:instrText>
      </w:r>
      <w:r w:rsidRPr="007E79DD">
        <w:rPr>
          <w:sz w:val="24"/>
          <w:szCs w:val="24"/>
        </w:rPr>
        <w:fldChar w:fldCharType="separate"/>
      </w:r>
      <w:r w:rsidRPr="007E79DD">
        <w:rPr>
          <w:noProof/>
          <w:sz w:val="24"/>
          <w:szCs w:val="24"/>
        </w:rPr>
        <w:t>3</w:t>
      </w:r>
      <w:r w:rsidRPr="007E79DD">
        <w:rPr>
          <w:noProof/>
          <w:sz w:val="24"/>
          <w:szCs w:val="24"/>
        </w:rPr>
        <w:fldChar w:fldCharType="end"/>
      </w:r>
      <w:r w:rsidRPr="007E79DD">
        <w:rPr>
          <w:sz w:val="24"/>
          <w:szCs w:val="24"/>
        </w:rPr>
        <w:t xml:space="preserve"> </w:t>
      </w:r>
    </w:p>
    <w:p w14:paraId="2287110E" w14:textId="77777777" w:rsidR="003E5B95" w:rsidRPr="007E79DD" w:rsidRDefault="003E5B95" w:rsidP="003E5B95">
      <w:pPr>
        <w:pStyle w:val="Caption"/>
        <w:keepNext/>
        <w:spacing w:line="480" w:lineRule="auto"/>
        <w:rPr>
          <w:b w:val="0"/>
          <w:bCs/>
          <w:i/>
          <w:iCs w:val="0"/>
          <w:sz w:val="24"/>
          <w:szCs w:val="24"/>
        </w:rPr>
      </w:pPr>
      <w:r w:rsidRPr="007E79DD">
        <w:rPr>
          <w:b w:val="0"/>
          <w:bCs/>
          <w:i/>
          <w:iCs w:val="0"/>
          <w:sz w:val="24"/>
          <w:szCs w:val="24"/>
        </w:rPr>
        <w:t>Conceptual Demand Appraisal Model</w:t>
      </w:r>
      <w:bookmarkEnd w:id="183"/>
    </w:p>
    <w:p w14:paraId="32A605C7" w14:textId="77777777" w:rsidR="003E5B95" w:rsidRPr="00AC29E4" w:rsidRDefault="003E5B95" w:rsidP="003E5B95">
      <w:pPr>
        <w:contextualSpacing w:val="0"/>
        <w:jc w:val="center"/>
        <w:rPr>
          <w:rFonts w:cs="Times New Roman"/>
          <w:b/>
          <w:szCs w:val="24"/>
        </w:rPr>
      </w:pPr>
      <w:r w:rsidRPr="00AC29E4">
        <w:rPr>
          <w:rFonts w:cs="Times New Roman"/>
          <w:b/>
          <w:noProof/>
          <w:szCs w:val="24"/>
          <w:lang w:eastAsia="en-US"/>
        </w:rPr>
        <w:drawing>
          <wp:inline distT="0" distB="0" distL="0" distR="0" wp14:anchorId="7D147D48" wp14:editId="16173695">
            <wp:extent cx="5455101" cy="2734945"/>
            <wp:effectExtent l="0" t="0" r="0" b="8255"/>
            <wp:docPr id="2" name="Picture 2" descr="C:\Users\acjohnston5\Dropbox\Dissertation_Stress\Paper 2\Model\Conceptual Mode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cjohnston5\Dropbox\Dissertation_Stress\Paper 2\Model\Conceptual Model.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9651"/>
                    <a:stretch/>
                  </pic:blipFill>
                  <pic:spPr bwMode="auto">
                    <a:xfrm>
                      <a:off x="0" y="0"/>
                      <a:ext cx="5484472" cy="2749671"/>
                    </a:xfrm>
                    <a:prstGeom prst="rect">
                      <a:avLst/>
                    </a:prstGeom>
                    <a:noFill/>
                    <a:ln w="25400" cap="flat" cmpd="sng" algn="ctr">
                      <a:no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263865E8"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conceptual model presented in Figure </w:t>
      </w:r>
      <w:r>
        <w:rPr>
          <w:rFonts w:cs="Times New Roman"/>
          <w:kern w:val="0"/>
          <w:szCs w:val="24"/>
          <w:lang w:eastAsia="en-US"/>
        </w:rPr>
        <w:t>3</w:t>
      </w:r>
      <w:r w:rsidRPr="00AC29E4">
        <w:rPr>
          <w:rFonts w:cs="Times New Roman"/>
          <w:kern w:val="0"/>
          <w:szCs w:val="24"/>
          <w:lang w:eastAsia="en-US"/>
        </w:rPr>
        <w:t xml:space="preserve"> articulates a process and variance (causal) orientation that allows for an explanation of both state and structure. Such models are known as hybrid models </w:t>
      </w:r>
      <w:r w:rsidRPr="00AC29E4">
        <w:rPr>
          <w:rFonts w:cs="Times New Roman"/>
          <w:noProof/>
          <w:kern w:val="0"/>
          <w:szCs w:val="24"/>
          <w:lang w:eastAsia="en-US"/>
        </w:rPr>
        <w:t>(Ortiz de Guinea &amp; Webster, 2017)</w:t>
      </w:r>
      <w:r w:rsidRPr="00AC29E4">
        <w:rPr>
          <w:rFonts w:cs="Times New Roman"/>
          <w:kern w:val="0"/>
          <w:szCs w:val="24"/>
          <w:lang w:eastAsia="en-US"/>
        </w:rPr>
        <w:t xml:space="preserve">, which have an advantage over strictly process or variance models in that they can model cognitive and emotional changes over time based on a sequence of events or stages </w:t>
      </w:r>
      <w:r w:rsidRPr="00AC29E4">
        <w:rPr>
          <w:rFonts w:cs="Times New Roman"/>
          <w:noProof/>
          <w:kern w:val="0"/>
          <w:szCs w:val="24"/>
          <w:lang w:eastAsia="en-US"/>
        </w:rPr>
        <w:t>(Van de Ven &amp; Huber, 1990)</w:t>
      </w:r>
      <w:r w:rsidRPr="00AC29E4">
        <w:rPr>
          <w:rFonts w:cs="Times New Roman"/>
          <w:kern w:val="0"/>
          <w:szCs w:val="24"/>
          <w:lang w:eastAsia="en-US"/>
        </w:rPr>
        <w:t xml:space="preserve">—for the conceptual DAM, these are the stress perceptions and outcomes that stem from an appraisal of EMS technology demands. These changes in variables are the building blocks of an input-process-output model </w:t>
      </w:r>
      <w:r w:rsidRPr="00AC29E4">
        <w:rPr>
          <w:rFonts w:cs="Times New Roman"/>
          <w:noProof/>
          <w:kern w:val="0"/>
          <w:szCs w:val="24"/>
          <w:lang w:eastAsia="en-US"/>
        </w:rPr>
        <w:t>(Van de Ven &amp; Huber, 1990)</w:t>
      </w:r>
      <w:r w:rsidRPr="00AC29E4">
        <w:rPr>
          <w:rFonts w:cs="Times New Roman"/>
          <w:kern w:val="0"/>
          <w:szCs w:val="24"/>
          <w:lang w:eastAsia="en-US"/>
        </w:rPr>
        <w:t xml:space="preserve"> and explain the sequence of events that lead to an outcome, such as perform A, then go to B to get to C </w:t>
      </w:r>
      <w:r w:rsidRPr="00AC29E4">
        <w:rPr>
          <w:rFonts w:cs="Times New Roman"/>
          <w:noProof/>
          <w:kern w:val="0"/>
          <w:szCs w:val="24"/>
          <w:lang w:eastAsia="en-US"/>
        </w:rPr>
        <w:t>(Langley, 1999)</w:t>
      </w:r>
      <w:r w:rsidRPr="00AC29E4">
        <w:rPr>
          <w:rFonts w:cs="Times New Roman"/>
          <w:kern w:val="0"/>
          <w:szCs w:val="24"/>
          <w:lang w:eastAsia="en-US"/>
        </w:rPr>
        <w:t>. Each stage of the DAM is described below.</w:t>
      </w:r>
    </w:p>
    <w:p w14:paraId="5CAA3B1D" w14:textId="77777777" w:rsidR="003E5B95" w:rsidRPr="00AC29E4" w:rsidRDefault="003E5B95" w:rsidP="003E5B95">
      <w:pPr>
        <w:pStyle w:val="Heading2"/>
        <w:rPr>
          <w:lang w:eastAsia="en-US"/>
        </w:rPr>
      </w:pPr>
      <w:bookmarkStart w:id="184" w:name="_Toc74045242"/>
      <w:bookmarkStart w:id="185" w:name="_Toc74087527"/>
      <w:bookmarkStart w:id="186" w:name="_Toc74258643"/>
      <w:r w:rsidRPr="00AC29E4">
        <w:rPr>
          <w:lang w:eastAsia="en-US"/>
        </w:rPr>
        <w:t>Stage I: Demand Relevance</w:t>
      </w:r>
      <w:bookmarkEnd w:id="184"/>
      <w:bookmarkEnd w:id="185"/>
      <w:bookmarkEnd w:id="186"/>
    </w:p>
    <w:p w14:paraId="09AAAC78" w14:textId="77777777" w:rsidR="003E5B95" w:rsidRPr="00AC29E4" w:rsidRDefault="003E5B95" w:rsidP="003E5B95">
      <w:pPr>
        <w:spacing w:after="160"/>
        <w:contextualSpacing w:val="0"/>
        <w:rPr>
          <w:rFonts w:cs="Times New Roman"/>
          <w:kern w:val="0"/>
          <w:szCs w:val="24"/>
          <w:lang w:eastAsia="en-US"/>
        </w:rPr>
      </w:pPr>
      <w:r w:rsidRPr="003775C8">
        <w:rPr>
          <w:rFonts w:cs="Times New Roman"/>
          <w:kern w:val="0"/>
          <w:szCs w:val="24"/>
          <w:lang w:eastAsia="en-US"/>
        </w:rPr>
        <w:t xml:space="preserve">The first stage of the conceptual DAM concerns the primary appraisal of a demand, which in the current study is an EMS technology that a cybersecurity professional must implement and/or maintain. Once faced with such a demand, the cybersecurity professional establishes the </w:t>
      </w:r>
      <w:r w:rsidRPr="003775C8">
        <w:rPr>
          <w:rFonts w:cs="Times New Roman"/>
          <w:kern w:val="0"/>
          <w:szCs w:val="24"/>
          <w:lang w:eastAsia="en-US"/>
        </w:rPr>
        <w:lastRenderedPageBreak/>
        <w:t xml:space="preserve">demand’s relevance to him/herself </w:t>
      </w:r>
      <w:r w:rsidRPr="003775C8">
        <w:rPr>
          <w:rFonts w:cs="Times New Roman"/>
          <w:noProof/>
          <w:kern w:val="0"/>
          <w:szCs w:val="24"/>
          <w:lang w:eastAsia="en-US"/>
        </w:rPr>
        <w:t>(Folkman et al., 1986; Lazarus &amp; Folkman, 1984)</w:t>
      </w:r>
      <w:r w:rsidRPr="003775C8">
        <w:rPr>
          <w:rFonts w:cs="Times New Roman"/>
          <w:kern w:val="0"/>
          <w:szCs w:val="24"/>
          <w:lang w:eastAsia="en-US"/>
        </w:rPr>
        <w:t xml:space="preserve">. The appraisal of a demand can be complex and mixed, depending on the context of the appraisal, as well as the characteristics of the individual conducting the appraisal and of the demand itself </w:t>
      </w:r>
      <w:r w:rsidRPr="003775C8">
        <w:rPr>
          <w:rFonts w:cs="Times New Roman"/>
          <w:noProof/>
          <w:kern w:val="0"/>
          <w:szCs w:val="24"/>
          <w:lang w:eastAsia="en-US"/>
        </w:rPr>
        <w:t>(Lazarus &amp; Folkman, 1984)</w:t>
      </w:r>
      <w:r w:rsidRPr="003775C8">
        <w:rPr>
          <w:rFonts w:cs="Times New Roman"/>
          <w:kern w:val="0"/>
          <w:szCs w:val="24"/>
          <w:lang w:eastAsia="en-US"/>
        </w:rPr>
        <w:t xml:space="preserve">. In this sense, then, the relevance of a demand is reflective of the cybersecurity professional’s sense of harm or perceived benefit it provides to the organization’s security environment </w:t>
      </w:r>
      <w:r w:rsidRPr="003775C8">
        <w:rPr>
          <w:rFonts w:cs="Times New Roman"/>
          <w:noProof/>
          <w:kern w:val="0"/>
          <w:szCs w:val="24"/>
          <w:lang w:eastAsia="en-US"/>
        </w:rPr>
        <w:t>(Lazarus, 1993)</w:t>
      </w:r>
      <w:r w:rsidRPr="003775C8">
        <w:rPr>
          <w:rFonts w:cs="Times New Roman"/>
          <w:kern w:val="0"/>
          <w:szCs w:val="24"/>
          <w:lang w:eastAsia="en-US"/>
        </w:rPr>
        <w:t xml:space="preserve">, which is also affected by a range of personal dispositions </w:t>
      </w:r>
      <w:r w:rsidRPr="003775C8">
        <w:rPr>
          <w:rFonts w:cs="Times New Roman"/>
          <w:noProof/>
          <w:kern w:val="0"/>
          <w:szCs w:val="24"/>
          <w:lang w:eastAsia="en-US"/>
        </w:rPr>
        <w:t>(Folkman et al., 1986; Lazarus, 1993)</w:t>
      </w:r>
      <w:r w:rsidRPr="003775C8">
        <w:rPr>
          <w:rFonts w:cs="Times New Roman"/>
          <w:kern w:val="0"/>
          <w:szCs w:val="24"/>
          <w:lang w:eastAsia="en-US"/>
        </w:rPr>
        <w:t xml:space="preserve">. For example, one cybersecurity professional may view changes to their company’s contract with their cloud storage provider as having low relevance because it has little impact on their work goals and/or because they have a greater appetite for unknown risk, while another cybersecurity professional may find these contract changes to be very relevant because they see the changes as directly impacting their work performance and/or they have less appetite for change. Irrelevant demands are those that do not require instrumental responses or impact. </w:t>
      </w:r>
      <w:r w:rsidRPr="00AC29E4">
        <w:rPr>
          <w:rFonts w:cs="Times New Roman"/>
          <w:kern w:val="0"/>
          <w:szCs w:val="24"/>
          <w:lang w:eastAsia="en-US"/>
        </w:rPr>
        <w:t>These EMS technologies will either not be implemented or may be minimally introduced into the organizational environment without much thought or effort.</w:t>
      </w:r>
    </w:p>
    <w:p w14:paraId="73A71E67" w14:textId="77777777" w:rsidR="003E5B95" w:rsidRPr="00AC29E4" w:rsidRDefault="003E5B95" w:rsidP="003E5B95">
      <w:pPr>
        <w:pStyle w:val="Heading2"/>
        <w:rPr>
          <w:lang w:eastAsia="en-US"/>
        </w:rPr>
      </w:pPr>
      <w:bookmarkStart w:id="187" w:name="_Toc74045243"/>
      <w:bookmarkStart w:id="188" w:name="_Toc74087528"/>
      <w:bookmarkStart w:id="189" w:name="_Toc74258644"/>
      <w:r w:rsidRPr="00AC29E4">
        <w:rPr>
          <w:lang w:eastAsia="en-US"/>
        </w:rPr>
        <w:t>Stage II: Classification of Stress</w:t>
      </w:r>
      <w:bookmarkEnd w:id="187"/>
      <w:bookmarkEnd w:id="188"/>
      <w:bookmarkEnd w:id="189"/>
    </w:p>
    <w:p w14:paraId="6D465911"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Before a coping or savoring response to a relevant EMS technology (demand) can be formed, a secondary appraisal of the stressor must take place, in which it is appraised in terms of the extent to which the cybersecurity professional has control over it </w:t>
      </w:r>
      <w:r w:rsidRPr="00AC29E4">
        <w:rPr>
          <w:rFonts w:cs="Times New Roman"/>
          <w:noProof/>
          <w:kern w:val="0"/>
          <w:szCs w:val="24"/>
          <w:lang w:eastAsia="en-US"/>
        </w:rPr>
        <w:t>(Lazarus &amp; Folkman, 1984; Lazarus &amp; Folkman, 1987)</w:t>
      </w:r>
      <w:r w:rsidRPr="00AC29E4">
        <w:rPr>
          <w:rFonts w:cs="Times New Roman"/>
          <w:kern w:val="0"/>
          <w:szCs w:val="24"/>
          <w:lang w:eastAsia="en-US"/>
        </w:rPr>
        <w:t xml:space="preserve">. Depending on the level of control a cybersecurity professional may have over the demand, this stage of the DAM describes the classification of demand in terms of the extent to which it imposes challenge and/or hindrance stress on the cybersecurity professional. We define control over the relevant demand in terms of a cybersecurity professional’s ability to govern EMS technology (control-by-self) </w:t>
      </w:r>
      <w:r w:rsidRPr="00AC29E4">
        <w:rPr>
          <w:rFonts w:cs="Times New Roman"/>
          <w:noProof/>
          <w:kern w:val="0"/>
          <w:szCs w:val="24"/>
          <w:lang w:eastAsia="en-US"/>
        </w:rPr>
        <w:t>(Peacock &amp; Wong, 1990)</w:t>
      </w:r>
      <w:r w:rsidRPr="00AC29E4">
        <w:rPr>
          <w:rFonts w:cs="Times New Roman"/>
          <w:kern w:val="0"/>
          <w:szCs w:val="24"/>
          <w:lang w:eastAsia="en-US"/>
        </w:rPr>
        <w:t xml:space="preserve">, as </w:t>
      </w:r>
      <w:r w:rsidRPr="00AC29E4">
        <w:rPr>
          <w:rFonts w:cs="Times New Roman"/>
          <w:kern w:val="0"/>
          <w:szCs w:val="24"/>
          <w:lang w:eastAsia="en-US"/>
        </w:rPr>
        <w:lastRenderedPageBreak/>
        <w:t xml:space="preserve">well as the extent to which it can be controlled by others. A relevant demand will impose both challenge and hindrance stress on a cybersecurity professional; the amount of control that the cyber professional and others have over the demand regulates the extent to which each form of stress is perceived. </w:t>
      </w:r>
    </w:p>
    <w:p w14:paraId="3ED3C08F"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This subjective experience of stress is distinguished as to whether it is seen as promoting mastery, personal growth, or future gains or thwarting these </w:t>
      </w:r>
      <w:r w:rsidRPr="00AC29E4">
        <w:rPr>
          <w:rFonts w:cs="Times New Roman"/>
          <w:noProof/>
          <w:kern w:val="0"/>
          <w:szCs w:val="24"/>
          <w:lang w:eastAsia="en-US"/>
        </w:rPr>
        <w:t>(Folkman &amp; Lazarus, 1985; Lazarus &amp; Folkman, 1984)</w:t>
      </w:r>
      <w:r w:rsidRPr="00AC29E4">
        <w:rPr>
          <w:rFonts w:cs="Times New Roman"/>
          <w:kern w:val="0"/>
          <w:szCs w:val="24"/>
          <w:lang w:eastAsia="en-US"/>
        </w:rPr>
        <w:t xml:space="preserve">, and the experience of stress manifests in terms of positive and negative psychological responses, respectively </w:t>
      </w:r>
      <w:r w:rsidRPr="00AC29E4">
        <w:rPr>
          <w:rFonts w:cs="Times New Roman"/>
          <w:noProof/>
          <w:kern w:val="0"/>
          <w:szCs w:val="24"/>
          <w:lang w:eastAsia="en-US"/>
        </w:rPr>
        <w:t>(Simmons &amp; Nelson, 2001)</w:t>
      </w:r>
      <w:r w:rsidRPr="00AC29E4">
        <w:rPr>
          <w:rFonts w:cs="Times New Roman"/>
          <w:kern w:val="0"/>
          <w:szCs w:val="24"/>
          <w:lang w:eastAsia="en-US"/>
        </w:rPr>
        <w:t xml:space="preserve">. A positive psychological response to a demand is suggestive of challenge stress, which is indicated by the presence of positive psychological emotions such as positive affect, meaningfulness, hope, excitement, and contentment, whereas a negative psychological response to a demand is suggestive of hindrance stress and is indicated by the presence of negative emotions such as negative affect, frustration, anxiety, fear, and hate </w:t>
      </w:r>
      <w:r w:rsidRPr="00AC29E4">
        <w:rPr>
          <w:rFonts w:cs="Times New Roman"/>
          <w:noProof/>
          <w:kern w:val="0"/>
          <w:szCs w:val="24"/>
          <w:lang w:eastAsia="en-US"/>
        </w:rPr>
        <w:t>(Edwards &amp; Cooper, 1988; LePine et al., 2004; Simmons &amp; Nelson, 2001)</w:t>
      </w:r>
      <w:r w:rsidRPr="00AC29E4">
        <w:rPr>
          <w:rFonts w:cs="Times New Roman"/>
          <w:kern w:val="0"/>
          <w:szCs w:val="24"/>
          <w:lang w:eastAsia="en-US"/>
        </w:rPr>
        <w:t xml:space="preserve">. Challenge stress reflects the extent to which the cognitive appraisal of a demand is seen to be either beneficial to the cybersecurity professional or as an enhancement of his/her well-being, whereas hindrance stress has most commonly been studied for its association with adverse health outcomes, absenteeism, and job turnover </w:t>
      </w:r>
      <w:r w:rsidRPr="00AC29E4">
        <w:rPr>
          <w:rFonts w:cs="Times New Roman"/>
          <w:noProof/>
          <w:kern w:val="0"/>
          <w:szCs w:val="24"/>
          <w:lang w:eastAsia="en-US"/>
        </w:rPr>
        <w:t>(LePine et al., 2004; LePine et al., 2005; Podsakoff et al., 2007; Quick et al., 1987; Simmons &amp; Nelson, 2001)</w:t>
      </w:r>
      <w:r w:rsidRPr="00AC29E4">
        <w:rPr>
          <w:rFonts w:cs="Times New Roman"/>
          <w:kern w:val="0"/>
          <w:szCs w:val="24"/>
          <w:lang w:eastAsia="en-US"/>
        </w:rPr>
        <w:t xml:space="preserve">. </w:t>
      </w:r>
    </w:p>
    <w:p w14:paraId="5C8F10A1" w14:textId="77777777" w:rsidR="003E5B95" w:rsidRPr="00AC29E4" w:rsidRDefault="003E5B95" w:rsidP="003E5B95">
      <w:pPr>
        <w:pStyle w:val="Heading2"/>
        <w:rPr>
          <w:lang w:eastAsia="en-US"/>
        </w:rPr>
      </w:pPr>
      <w:bookmarkStart w:id="190" w:name="_Toc74045244"/>
      <w:bookmarkStart w:id="191" w:name="_Toc74087529"/>
      <w:bookmarkStart w:id="192" w:name="_Toc74258645"/>
      <w:r w:rsidRPr="00AC29E4">
        <w:rPr>
          <w:lang w:eastAsia="en-US"/>
        </w:rPr>
        <w:t>Stage III: Utilization of Stress</w:t>
      </w:r>
      <w:bookmarkEnd w:id="190"/>
      <w:bookmarkEnd w:id="191"/>
      <w:bookmarkEnd w:id="192"/>
    </w:p>
    <w:p w14:paraId="777DD2CB" w14:textId="77777777"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Although the primary and secondary appraisals described in the first two stages of the DAM are purely cognitive processes and serve to associate levels of challenge and hindrance stress with an EMS technology (demand), the third stage describes how a cybersecurity professional may respond to the stress experienced from implementing and/or maintaining an EMS </w:t>
      </w:r>
      <w:r w:rsidRPr="00AC29E4">
        <w:rPr>
          <w:rFonts w:cs="Times New Roman"/>
          <w:kern w:val="0"/>
          <w:szCs w:val="24"/>
          <w:lang w:eastAsia="en-US"/>
        </w:rPr>
        <w:lastRenderedPageBreak/>
        <w:t xml:space="preserve">technology. This response is commonly referred to as either a coping or savoring response </w:t>
      </w:r>
      <w:r w:rsidRPr="00AC29E4">
        <w:rPr>
          <w:rFonts w:cs="Times New Roman"/>
          <w:noProof/>
          <w:kern w:val="0"/>
          <w:szCs w:val="24"/>
          <w:lang w:eastAsia="en-US"/>
        </w:rPr>
        <w:t>(Bryant &amp; Veroff, 2007; Lazarus, 1999)</w:t>
      </w:r>
      <w:r w:rsidRPr="00AC29E4">
        <w:rPr>
          <w:rFonts w:cs="Times New Roman"/>
          <w:kern w:val="0"/>
          <w:szCs w:val="24"/>
          <w:lang w:eastAsia="en-US"/>
        </w:rPr>
        <w:t xml:space="preserve"> and depends on one’s experience of challenge and hindrance stress </w:t>
      </w:r>
      <w:r w:rsidRPr="00AC29E4">
        <w:rPr>
          <w:rFonts w:cs="Times New Roman"/>
          <w:noProof/>
          <w:kern w:val="0"/>
          <w:szCs w:val="24"/>
          <w:lang w:eastAsia="en-US"/>
        </w:rPr>
        <w:t>(Nelson &amp; Simmons, 2011; Simmons &amp; Nelson, 2001)</w:t>
      </w:r>
      <w:r w:rsidRPr="00AC29E4">
        <w:rPr>
          <w:rFonts w:cs="Times New Roman"/>
          <w:kern w:val="0"/>
          <w:szCs w:val="24"/>
          <w:lang w:eastAsia="en-US"/>
        </w:rPr>
        <w:t xml:space="preserve">. </w:t>
      </w:r>
    </w:p>
    <w:p w14:paraId="310C9B93" w14:textId="77777777"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A coping response is defined as a “person’s cognitive and behavioral efforts to manage (reduce, minimize, master, or tolerate) the internal and external demands of the person-environment transaction that is appraised as taxing or exceeding the cybersecurity professional’s resources” </w:t>
      </w:r>
      <w:r w:rsidRPr="00AC29E4">
        <w:rPr>
          <w:rFonts w:cs="Times New Roman"/>
          <w:noProof/>
          <w:kern w:val="0"/>
          <w:szCs w:val="24"/>
          <w:lang w:eastAsia="en-US"/>
        </w:rPr>
        <w:t>(Folkman et al., 1986, p. 572)</w:t>
      </w:r>
      <w:r w:rsidRPr="00AC29E4">
        <w:rPr>
          <w:rFonts w:cs="Times New Roman"/>
          <w:kern w:val="0"/>
          <w:szCs w:val="24"/>
          <w:lang w:eastAsia="en-US"/>
        </w:rPr>
        <w:t xml:space="preserve">. Coping responses are more evident during an experience of hindrance stress </w:t>
      </w:r>
      <w:r w:rsidRPr="00AC29E4">
        <w:rPr>
          <w:rFonts w:cs="Times New Roman"/>
          <w:noProof/>
          <w:kern w:val="0"/>
          <w:szCs w:val="24"/>
          <w:lang w:eastAsia="en-US"/>
        </w:rPr>
        <w:t>(Simmons &amp; Nelson, 2007)</w:t>
      </w:r>
      <w:r w:rsidRPr="00AC29E4">
        <w:rPr>
          <w:rFonts w:cs="Times New Roman"/>
          <w:kern w:val="0"/>
          <w:szCs w:val="24"/>
          <w:lang w:eastAsia="en-US"/>
        </w:rPr>
        <w:t xml:space="preserve">. Coping responses are context dependent, and a cybersecurity professional engages in different coping responses in different situations. For example, when threatened by IT security problems, a cybersecurity professional can engage in emotional support seeking and venting; whereas if a cybersecurity professional believes he/she can avoid the IT security threat by taking precautions and following adequate safeguard measure, he/she will less likely engage in venting, distancing, or denial as a coping response </w:t>
      </w:r>
      <w:r w:rsidRPr="00AC29E4">
        <w:rPr>
          <w:rFonts w:cs="Times New Roman"/>
          <w:noProof/>
          <w:kern w:val="0"/>
          <w:szCs w:val="24"/>
          <w:lang w:eastAsia="en-US"/>
        </w:rPr>
        <w:t>(Liang et al., 2019)</w:t>
      </w:r>
      <w:r w:rsidRPr="00AC29E4">
        <w:rPr>
          <w:rFonts w:cs="Times New Roman"/>
          <w:kern w:val="0"/>
          <w:szCs w:val="24"/>
          <w:lang w:eastAsia="en-US"/>
        </w:rPr>
        <w:t xml:space="preserve">. </w:t>
      </w:r>
    </w:p>
    <w:p w14:paraId="4BB92A8C" w14:textId="77777777"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In the event of hindrance stress, a cybersecurity professional may intend to either deal with the EMS technology that is causing the stress or deal with any possible ramifications that may come from the demand. For example, enhanced security requirements create a perception of hindrance stress to a cybersecurity professional’s job accomplishment, causing frustration and fatigue, and as a coping response to it, he/she may rationalize or reinterpret his/her actions, such as seeing a violation of information security policy as justifiable </w:t>
      </w:r>
      <w:r w:rsidRPr="00AC29E4">
        <w:rPr>
          <w:rFonts w:cs="Times New Roman"/>
          <w:noProof/>
          <w:kern w:val="0"/>
          <w:szCs w:val="24"/>
          <w:lang w:eastAsia="en-US"/>
        </w:rPr>
        <w:t>(D’Arcy &amp; Teh, 2019)</w:t>
      </w:r>
      <w:r w:rsidRPr="00AC29E4">
        <w:rPr>
          <w:rFonts w:cs="Times New Roman"/>
          <w:kern w:val="0"/>
          <w:szCs w:val="24"/>
          <w:lang w:eastAsia="en-US"/>
        </w:rPr>
        <w:t xml:space="preserve">. Similarly, to cope with an IT security threat, a cybersecurity professional may deny the existence of the threat or create a psychological distance from the threat </w:t>
      </w:r>
      <w:r w:rsidRPr="00AC29E4">
        <w:rPr>
          <w:rFonts w:cs="Times New Roman"/>
          <w:noProof/>
          <w:kern w:val="0"/>
          <w:szCs w:val="24"/>
          <w:lang w:eastAsia="en-US"/>
        </w:rPr>
        <w:t>(Liang &amp; Xue, 2009)</w:t>
      </w:r>
      <w:r w:rsidRPr="00AC29E4">
        <w:rPr>
          <w:rFonts w:cs="Times New Roman"/>
          <w:kern w:val="0"/>
          <w:szCs w:val="24"/>
          <w:lang w:eastAsia="en-US"/>
        </w:rPr>
        <w:t xml:space="preserve">. Such coping responses are directed toward pacifying the emotions caused by a stressful situation, are </w:t>
      </w:r>
      <w:r w:rsidRPr="00AC29E4">
        <w:rPr>
          <w:rFonts w:cs="Times New Roman"/>
          <w:kern w:val="0"/>
          <w:szCs w:val="24"/>
          <w:lang w:eastAsia="en-US"/>
        </w:rPr>
        <w:lastRenderedPageBreak/>
        <w:t xml:space="preserve">classified as emotion-focused coping responses </w:t>
      </w:r>
      <w:r w:rsidRPr="00AC29E4">
        <w:rPr>
          <w:rFonts w:cs="Times New Roman"/>
          <w:noProof/>
          <w:kern w:val="0"/>
          <w:szCs w:val="24"/>
          <w:lang w:eastAsia="en-US"/>
        </w:rPr>
        <w:t>(Liang et al., 2019)</w:t>
      </w:r>
      <w:r w:rsidRPr="00AC29E4">
        <w:rPr>
          <w:rFonts w:cs="Times New Roman"/>
          <w:kern w:val="0"/>
          <w:szCs w:val="24"/>
          <w:lang w:eastAsia="en-US"/>
        </w:rPr>
        <w:t>, and appear to be plausible mechanisms for dealing with hindrance stress. We collectively refer to these responses to pacify the internal emotional states of disturbance as emotion-focused coping (EFC) responses.</w:t>
      </w:r>
    </w:p>
    <w:p w14:paraId="19A21607" w14:textId="754ECA5D" w:rsidR="003E5B95"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As opposed to coping with hindrance stress, previous research has suggested that coping with challenge stress (or positive stress) is known as savoring </w:t>
      </w:r>
      <w:r w:rsidRPr="00AC29E4">
        <w:rPr>
          <w:rFonts w:cs="Times New Roman"/>
          <w:noProof/>
          <w:kern w:val="0"/>
          <w:szCs w:val="24"/>
          <w:lang w:eastAsia="en-US"/>
        </w:rPr>
        <w:t>(Nelson &amp; Simmons, 2011)</w:t>
      </w:r>
      <w:r w:rsidR="0084106A">
        <w:rPr>
          <w:rFonts w:cs="Times New Roman"/>
          <w:kern w:val="0"/>
          <w:szCs w:val="24"/>
          <w:lang w:eastAsia="en-US"/>
        </w:rPr>
        <w:t>. S</w:t>
      </w:r>
      <w:r w:rsidRPr="00AC29E4">
        <w:rPr>
          <w:rFonts w:cs="Times New Roman"/>
          <w:kern w:val="0"/>
          <w:szCs w:val="24"/>
          <w:lang w:eastAsia="en-US"/>
        </w:rPr>
        <w:t xml:space="preserve">avoring is defined as the capability “to attend to, appreciate, and enhance the positive experiences in one’s life” </w:t>
      </w:r>
      <w:r w:rsidRPr="00AC29E4">
        <w:rPr>
          <w:rFonts w:cs="Times New Roman"/>
          <w:noProof/>
          <w:kern w:val="0"/>
          <w:szCs w:val="24"/>
          <w:lang w:eastAsia="en-US"/>
        </w:rPr>
        <w:t>(Bryant &amp; Veroff, 2007, p. 2)</w:t>
      </w:r>
      <w:r w:rsidRPr="00AC29E4">
        <w:rPr>
          <w:rFonts w:cs="Times New Roman"/>
          <w:kern w:val="0"/>
          <w:szCs w:val="24"/>
          <w:lang w:eastAsia="en-US"/>
        </w:rPr>
        <w:t>. Savoring suggests enjoyment of challenge stress, with hope and excitement</w:t>
      </w:r>
      <w:r>
        <w:rPr>
          <w:rFonts w:cs="Times New Roman"/>
          <w:kern w:val="0"/>
          <w:szCs w:val="24"/>
          <w:lang w:eastAsia="en-US"/>
        </w:rPr>
        <w:t xml:space="preserve">, </w:t>
      </w:r>
      <w:r w:rsidRPr="00AC29E4">
        <w:rPr>
          <w:rFonts w:cs="Times New Roman"/>
          <w:kern w:val="0"/>
          <w:szCs w:val="24"/>
          <w:lang w:eastAsia="en-US"/>
        </w:rPr>
        <w:t xml:space="preserve">and a sense of satisfaction while engaging with it </w:t>
      </w:r>
      <w:r w:rsidRPr="00AC29E4">
        <w:rPr>
          <w:rFonts w:cs="Times New Roman"/>
          <w:noProof/>
          <w:kern w:val="0"/>
          <w:szCs w:val="24"/>
          <w:lang w:eastAsia="en-US"/>
        </w:rPr>
        <w:t>(Nelson &amp; Simmons, 2011)</w:t>
      </w:r>
      <w:r w:rsidRPr="00AC29E4">
        <w:rPr>
          <w:rFonts w:cs="Times New Roman"/>
          <w:kern w:val="0"/>
          <w:szCs w:val="24"/>
          <w:lang w:eastAsia="en-US"/>
        </w:rPr>
        <w:t xml:space="preserve">. As an outcome of challenge stress, a cybersecurity professional may engage in activities which he/she finds inherently enjoyable. For example, enhanced security demands cause a perception of work overload, but a cybersecurity professional may engage in security education and training activities to comply with security policies and find this literacy facilitation enjoyable </w:t>
      </w:r>
      <w:r w:rsidRPr="00AC29E4">
        <w:rPr>
          <w:rFonts w:cs="Times New Roman"/>
          <w:noProof/>
          <w:kern w:val="0"/>
          <w:szCs w:val="24"/>
          <w:lang w:eastAsia="en-US"/>
        </w:rPr>
        <w:t>(Ragu-Nathan et al., 2008)</w:t>
      </w:r>
      <w:r w:rsidRPr="00AC29E4">
        <w:rPr>
          <w:rFonts w:cs="Times New Roman"/>
          <w:kern w:val="0"/>
          <w:szCs w:val="24"/>
          <w:lang w:eastAsia="en-US"/>
        </w:rPr>
        <w:t xml:space="preserve">. Furthermore, because of challenge stress, a cybersecurity professional may experience a sense of accomplishment by successfully implementing strategies that bring pleasure and tackle the situation with a problem-solving attitude. For example, 1) a cybersecurity professional may adapt to his/her work requirements by modifying the procedures or work routine to accommodate the job stressors, 2) a cybersecurity professional may adapt his/her habits, learn new skills, or adjust work commitments to suit the work environment, and 3) a cybersecurity professional may adapt to the new technology or work process by changing its functionalities and features </w:t>
      </w:r>
      <w:r w:rsidRPr="00AC29E4">
        <w:rPr>
          <w:rFonts w:cs="Times New Roman"/>
          <w:noProof/>
          <w:kern w:val="0"/>
          <w:szCs w:val="24"/>
          <w:lang w:eastAsia="en-US"/>
        </w:rPr>
        <w:t>(Beaudry &amp; Pinsonneault, 2005; Fadel, 2012)</w:t>
      </w:r>
      <w:r w:rsidRPr="00AC29E4">
        <w:rPr>
          <w:rFonts w:cs="Times New Roman"/>
          <w:kern w:val="0"/>
          <w:szCs w:val="24"/>
          <w:lang w:eastAsia="en-US"/>
        </w:rPr>
        <w:t xml:space="preserve">. We collectively call these efforts problem-focused savoring (PFS) responses. The outcome of the third stage of the DAM articulates the savoring and coping response or response in which he/she may engage. However, the choice of savoring and coping response depends on the cybersecurity </w:t>
      </w:r>
      <w:r w:rsidRPr="00AC29E4">
        <w:rPr>
          <w:rFonts w:cs="Times New Roman"/>
          <w:kern w:val="0"/>
          <w:szCs w:val="24"/>
          <w:lang w:eastAsia="en-US"/>
        </w:rPr>
        <w:lastRenderedPageBreak/>
        <w:t xml:space="preserve">professional’s emotional states and </w:t>
      </w:r>
      <w:r>
        <w:rPr>
          <w:rFonts w:cs="Times New Roman"/>
          <w:kern w:val="0"/>
          <w:szCs w:val="24"/>
          <w:lang w:eastAsia="en-US"/>
        </w:rPr>
        <w:t xml:space="preserve">the </w:t>
      </w:r>
      <w:r w:rsidRPr="00AC29E4">
        <w:rPr>
          <w:rFonts w:cs="Times New Roman"/>
          <w:kern w:val="0"/>
          <w:szCs w:val="24"/>
          <w:lang w:eastAsia="en-US"/>
        </w:rPr>
        <w:t>level of challenge and/or hindrance stress he/she is experiencing.</w:t>
      </w:r>
      <w:r w:rsidRPr="00AC29E4" w:rsidDel="001209B2">
        <w:rPr>
          <w:rFonts w:cs="Times New Roman"/>
          <w:kern w:val="0"/>
          <w:szCs w:val="24"/>
          <w:lang w:eastAsia="en-US"/>
        </w:rPr>
        <w:t xml:space="preserve"> </w:t>
      </w:r>
    </w:p>
    <w:p w14:paraId="7A33C3DC" w14:textId="77777777" w:rsidR="003E5B95" w:rsidRPr="00AC29E4"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At this stage in the theorizing of the DAM, we have a conceptual representation of the model. The next steps in our contextualization process are to thoroughly evaluate the context to identify context-specific factors, model those context-specific factors, consider the interactions of those factors with core elements of the model, and then test the model. Toward achieving these remaining steps, we propose a mixed methods research design. The qualitative phase of this design will allow us to perform a deep dive into the context of EMS technology implementation and maintenance by cybersecurity professionals, which can help in further refining the model. The quantitative phase of the design will permit the examination of the refined model, including the examination of interaction effects and alternative models. </w:t>
      </w:r>
    </w:p>
    <w:p w14:paraId="2EEDCD67" w14:textId="77777777" w:rsidR="003E5B95" w:rsidRPr="004011E1" w:rsidRDefault="003E5B95" w:rsidP="003E5B95">
      <w:pPr>
        <w:pStyle w:val="Heading1"/>
        <w:rPr>
          <w:b/>
          <w:bCs/>
          <w:lang w:eastAsia="en-US"/>
        </w:rPr>
      </w:pPr>
      <w:bookmarkStart w:id="193" w:name="_Toc74045245"/>
      <w:bookmarkStart w:id="194" w:name="_Toc74087530"/>
      <w:bookmarkStart w:id="195" w:name="_Toc74258646"/>
      <w:r w:rsidRPr="004011E1">
        <w:rPr>
          <w:b/>
          <w:bCs/>
          <w:lang w:eastAsia="en-US"/>
        </w:rPr>
        <w:t>MIXED METHODS RESEARCH DESIGN</w:t>
      </w:r>
      <w:bookmarkEnd w:id="193"/>
      <w:bookmarkEnd w:id="194"/>
      <w:bookmarkEnd w:id="195"/>
    </w:p>
    <w:p w14:paraId="73EDB345" w14:textId="77777777" w:rsidR="003E5B95" w:rsidRPr="00AC29E4" w:rsidRDefault="003E5B95" w:rsidP="003E5B95">
      <w:pPr>
        <w:contextualSpacing w:val="0"/>
        <w:rPr>
          <w:rFonts w:cs="Times New Roman"/>
          <w:kern w:val="0"/>
          <w:szCs w:val="24"/>
          <w:lang w:eastAsia="en-US"/>
        </w:rPr>
      </w:pPr>
      <w:r w:rsidRPr="00AC29E4">
        <w:rPr>
          <w:rFonts w:cs="Times New Roman"/>
          <w:szCs w:val="24"/>
        </w:rPr>
        <w:t xml:space="preserve">A mixed methods research design combines both qualitative and quantitative research methods in the same research inquiry </w:t>
      </w:r>
      <w:r w:rsidRPr="00AC29E4">
        <w:rPr>
          <w:rFonts w:cs="Times New Roman"/>
          <w:noProof/>
          <w:szCs w:val="24"/>
        </w:rPr>
        <w:t>(Teddlie &amp; Tashakkori, 2009)</w:t>
      </w:r>
      <w:r w:rsidRPr="00AC29E4">
        <w:rPr>
          <w:rFonts w:cs="Times New Roman"/>
          <w:szCs w:val="24"/>
        </w:rPr>
        <w:t xml:space="preserve">. These designs are useful when rich insights are needed into a phenomenon that cannot be understood using only a single approach </w:t>
      </w:r>
      <w:r w:rsidRPr="00AC29E4">
        <w:rPr>
          <w:rFonts w:cs="Times New Roman"/>
          <w:noProof/>
          <w:szCs w:val="24"/>
        </w:rPr>
        <w:t>(Tashakkori et al., 1998; Venkatesh et al., 2013)</w:t>
      </w:r>
      <w:r w:rsidRPr="00AC29E4">
        <w:rPr>
          <w:rFonts w:cs="Times New Roman"/>
          <w:szCs w:val="24"/>
        </w:rPr>
        <w:t xml:space="preserve">. Mixed methods designs are well suited to studies in which a deeper understanding of the phenomenon under investigation is warranted </w:t>
      </w:r>
      <w:r w:rsidRPr="00AC29E4">
        <w:rPr>
          <w:rFonts w:cs="Times New Roman"/>
          <w:noProof/>
          <w:szCs w:val="24"/>
        </w:rPr>
        <w:t>(Venkatesh et al., 2016)</w:t>
      </w:r>
      <w:r w:rsidRPr="00AC29E4">
        <w:rPr>
          <w:rFonts w:cs="Times New Roman"/>
          <w:szCs w:val="24"/>
        </w:rPr>
        <w:t xml:space="preserve">. Also, mixed methods designs are particularly useful in IS studies because the nature of IS artifacts changes frequently, influencing employees’ performance either positively or negatively </w:t>
      </w:r>
      <w:r w:rsidRPr="00AC29E4">
        <w:rPr>
          <w:rFonts w:cs="Times New Roman"/>
          <w:noProof/>
          <w:szCs w:val="24"/>
        </w:rPr>
        <w:t>(Venkatesh et al., 2013)</w:t>
      </w:r>
      <w:r w:rsidRPr="00AC29E4">
        <w:rPr>
          <w:rFonts w:cs="Times New Roman"/>
          <w:szCs w:val="24"/>
        </w:rPr>
        <w:t>.</w:t>
      </w:r>
      <w:r>
        <w:rPr>
          <w:rFonts w:cs="Times New Roman"/>
          <w:szCs w:val="24"/>
        </w:rPr>
        <w:t xml:space="preserve"> </w:t>
      </w:r>
      <w:r w:rsidRPr="00AC29E4">
        <w:rPr>
          <w:rFonts w:cs="Times New Roman"/>
          <w:szCs w:val="24"/>
        </w:rPr>
        <w:t xml:space="preserve">Hence, given the uniqueness of the context and dearth of research focused on stress and stress savoring/coping among cybersecurity professionals charged with implementing and/or maintaining EMS technologies, a mixed methods study is well suited for the present research. Specifically, we followed an </w:t>
      </w:r>
      <w:r w:rsidRPr="00AC29E4">
        <w:rPr>
          <w:rFonts w:cs="Times New Roman"/>
          <w:szCs w:val="24"/>
        </w:rPr>
        <w:lastRenderedPageBreak/>
        <w:t xml:space="preserve">exploratory sequential mixed methods design </w:t>
      </w:r>
      <w:r w:rsidRPr="00AC29E4">
        <w:rPr>
          <w:rFonts w:cs="Times New Roman"/>
          <w:noProof/>
          <w:szCs w:val="24"/>
        </w:rPr>
        <w:t>(Creswell &amp; Clark, 2011)</w:t>
      </w:r>
      <w:r w:rsidRPr="00AC29E4">
        <w:rPr>
          <w:rFonts w:cs="Times New Roman"/>
          <w:szCs w:val="24"/>
        </w:rPr>
        <w:t xml:space="preserve">, in which we used a multiple paradigm approach as our epistemological stance </w:t>
      </w:r>
      <w:r w:rsidRPr="00AC29E4">
        <w:rPr>
          <w:rFonts w:cs="Times New Roman"/>
          <w:noProof/>
          <w:szCs w:val="24"/>
        </w:rPr>
        <w:t>(Venkatesh et al., 2013; Venkatesh et al., 2016)</w:t>
      </w:r>
      <w:r w:rsidRPr="00AC29E4">
        <w:rPr>
          <w:rFonts w:cs="Times New Roman"/>
          <w:szCs w:val="24"/>
        </w:rPr>
        <w:t xml:space="preserve">. We took an interpretivist approach in a qualitative phase of </w:t>
      </w:r>
      <w:r>
        <w:rPr>
          <w:rFonts w:cs="Times New Roman"/>
          <w:szCs w:val="24"/>
        </w:rPr>
        <w:t xml:space="preserve">the </w:t>
      </w:r>
      <w:r w:rsidRPr="00AC29E4">
        <w:rPr>
          <w:rFonts w:cs="Times New Roman"/>
          <w:szCs w:val="24"/>
        </w:rPr>
        <w:t xml:space="preserve">study to investigate and form a research model and hypotheses based on the conceptual DAM. We then tested the research model in the quantitative phase of the study. </w:t>
      </w:r>
      <w:r w:rsidRPr="00AC29E4">
        <w:rPr>
          <w:rFonts w:cs="Times New Roman"/>
          <w:kern w:val="0"/>
          <w:szCs w:val="24"/>
          <w:lang w:eastAsia="en-US"/>
        </w:rPr>
        <w:t xml:space="preserve">Following Venkatesh et al. (2016), we further elaborate on our decision choices with respect to the mixed methods design in Appendix </w:t>
      </w:r>
      <w:r>
        <w:rPr>
          <w:rFonts w:cs="Times New Roman"/>
          <w:kern w:val="0"/>
          <w:szCs w:val="24"/>
          <w:lang w:eastAsia="en-US"/>
        </w:rPr>
        <w:t>E</w:t>
      </w:r>
      <w:r w:rsidRPr="00AC29E4">
        <w:rPr>
          <w:rFonts w:cs="Times New Roman"/>
          <w:kern w:val="0"/>
          <w:szCs w:val="24"/>
          <w:lang w:eastAsia="en-US"/>
        </w:rPr>
        <w:t xml:space="preserve">, Table </w:t>
      </w:r>
      <w:r>
        <w:rPr>
          <w:rFonts w:cs="Times New Roman"/>
          <w:kern w:val="0"/>
          <w:szCs w:val="24"/>
          <w:lang w:eastAsia="en-US"/>
        </w:rPr>
        <w:t>E</w:t>
      </w:r>
      <w:r w:rsidRPr="00AC29E4">
        <w:rPr>
          <w:rFonts w:cs="Times New Roman"/>
          <w:kern w:val="0"/>
          <w:szCs w:val="24"/>
          <w:lang w:eastAsia="en-US"/>
        </w:rPr>
        <w:t>1.</w:t>
      </w:r>
    </w:p>
    <w:p w14:paraId="01034985" w14:textId="77777777" w:rsidR="003E5B95" w:rsidRPr="004011E1" w:rsidRDefault="003E5B95" w:rsidP="003E5B95">
      <w:pPr>
        <w:pStyle w:val="Heading1"/>
        <w:rPr>
          <w:b/>
          <w:bCs/>
          <w:lang w:eastAsia="en-US"/>
        </w:rPr>
      </w:pPr>
      <w:bookmarkStart w:id="196" w:name="_Toc74087531"/>
      <w:bookmarkStart w:id="197" w:name="_Toc74258647"/>
      <w:r w:rsidRPr="004011E1">
        <w:rPr>
          <w:b/>
          <w:bCs/>
          <w:lang w:eastAsia="en-US"/>
        </w:rPr>
        <w:t>QUALITATIVE STUDY</w:t>
      </w:r>
      <w:bookmarkEnd w:id="196"/>
      <w:bookmarkEnd w:id="197"/>
    </w:p>
    <w:p w14:paraId="762812B5" w14:textId="77777777" w:rsidR="003E5B95" w:rsidRDefault="003E5B95" w:rsidP="003E5B95">
      <w:pPr>
        <w:spacing w:after="160"/>
        <w:contextualSpacing w:val="0"/>
        <w:rPr>
          <w:rFonts w:cs="Times New Roman"/>
          <w:szCs w:val="24"/>
        </w:rPr>
      </w:pPr>
      <w:r w:rsidRPr="00AC29E4">
        <w:rPr>
          <w:rFonts w:cs="Times New Roman"/>
          <w:szCs w:val="24"/>
        </w:rPr>
        <w:t xml:space="preserve">This phase of our study had the aim of identifying the psychological stress a cybersecurity professional may experience during the implementation and/or maintenance of EMS technologies within his/her organization. </w:t>
      </w:r>
      <w:r w:rsidRPr="00AC29E4">
        <w:rPr>
          <w:rFonts w:cs="Times New Roman"/>
          <w:noProof/>
          <w:szCs w:val="24"/>
        </w:rPr>
        <w:t>Lazarus and Folkman (1987)</w:t>
      </w:r>
      <w:r w:rsidRPr="00AC29E4">
        <w:rPr>
          <w:rFonts w:cs="Times New Roman"/>
          <w:szCs w:val="24"/>
        </w:rPr>
        <w:t xml:space="preserve"> mention that stress and coping should be studied in </w:t>
      </w:r>
      <w:r>
        <w:rPr>
          <w:rFonts w:cs="Times New Roman"/>
          <w:szCs w:val="24"/>
        </w:rPr>
        <w:t xml:space="preserve">the </w:t>
      </w:r>
      <w:r w:rsidRPr="00AC29E4">
        <w:rPr>
          <w:rFonts w:cs="Times New Roman"/>
          <w:szCs w:val="24"/>
        </w:rPr>
        <w:t xml:space="preserve">context in relation to the situational and environmental factors where an individual encounters the stressor. In this case, qualitative data collection methods were deemed appropriate because they allow for a greater and deeper understanding of the processes under investigation. A qualitative research method is also well suited to studying stress in the EMS technologies context because this method provides a systematic way of exploring the complex issues that cannot be separated from the organizational context where EMS technologies are being implemented. </w:t>
      </w:r>
    </w:p>
    <w:p w14:paraId="7A62AE13" w14:textId="77777777" w:rsidR="003E5B95" w:rsidRPr="00AC29E4" w:rsidRDefault="003E5B95" w:rsidP="003E5B95">
      <w:pPr>
        <w:spacing w:after="160"/>
        <w:contextualSpacing w:val="0"/>
        <w:rPr>
          <w:rFonts w:cs="Times New Roman"/>
          <w:szCs w:val="24"/>
        </w:rPr>
      </w:pPr>
      <w:r w:rsidRPr="00AC29E4">
        <w:rPr>
          <w:rFonts w:cs="Times New Roman"/>
          <w:szCs w:val="24"/>
        </w:rPr>
        <w:t xml:space="preserve">Our qualitative phase of the study followed a phenomenological approach </w:t>
      </w:r>
      <w:r w:rsidRPr="00AC29E4">
        <w:rPr>
          <w:rFonts w:cs="Times New Roman"/>
          <w:noProof/>
          <w:szCs w:val="24"/>
        </w:rPr>
        <w:t>(Creswell &amp; Poth, 2016, p. 76)</w:t>
      </w:r>
      <w:r w:rsidRPr="00AC29E4">
        <w:rPr>
          <w:rFonts w:cs="Times New Roman"/>
          <w:szCs w:val="24"/>
        </w:rPr>
        <w:t xml:space="preserve"> in which a phenomenon of interest was identified, and data were collected from individuals who have experienced the phenomenon. A composite description of the phenomenon was then generated, one that could be applied to all individuals </w:t>
      </w:r>
      <w:r w:rsidRPr="00AC29E4">
        <w:rPr>
          <w:rFonts w:cs="Times New Roman"/>
          <w:noProof/>
          <w:szCs w:val="24"/>
        </w:rPr>
        <w:t>(Creswell &amp; Poth, 2016)</w:t>
      </w:r>
      <w:r w:rsidRPr="00AC29E4">
        <w:rPr>
          <w:rFonts w:cs="Times New Roman"/>
          <w:szCs w:val="24"/>
        </w:rPr>
        <w:t xml:space="preserve">. Here, the implementation and/or maintenance of EMS technology is a common phenomenon that </w:t>
      </w:r>
      <w:r w:rsidRPr="00AC29E4">
        <w:rPr>
          <w:rFonts w:cs="Times New Roman"/>
          <w:szCs w:val="24"/>
        </w:rPr>
        <w:lastRenderedPageBreak/>
        <w:t>cybersecurity professionals have experienced in their career</w:t>
      </w:r>
      <w:r>
        <w:rPr>
          <w:rFonts w:cs="Times New Roman"/>
          <w:szCs w:val="24"/>
        </w:rPr>
        <w:t>s</w:t>
      </w:r>
      <w:r w:rsidRPr="00AC29E4">
        <w:rPr>
          <w:rFonts w:cs="Times New Roman"/>
          <w:szCs w:val="24"/>
        </w:rPr>
        <w:t xml:space="preserve">. Because a phenomenological approach focuses on listening to individual experiences, we used </w:t>
      </w:r>
      <w:proofErr w:type="spellStart"/>
      <w:r w:rsidRPr="00AC29E4">
        <w:rPr>
          <w:rFonts w:cs="Times New Roman"/>
          <w:szCs w:val="24"/>
        </w:rPr>
        <w:t>semistructured</w:t>
      </w:r>
      <w:proofErr w:type="spellEnd"/>
      <w:r w:rsidRPr="00AC29E4">
        <w:rPr>
          <w:rFonts w:cs="Times New Roman"/>
          <w:szCs w:val="24"/>
        </w:rPr>
        <w:t xml:space="preserve"> interviews as our data collection method, as described below.  </w:t>
      </w:r>
    </w:p>
    <w:p w14:paraId="36BD121A" w14:textId="77777777" w:rsidR="003E5B95" w:rsidRPr="00AC29E4" w:rsidRDefault="003E5B95" w:rsidP="003E5B95">
      <w:pPr>
        <w:pStyle w:val="Heading2"/>
        <w:rPr>
          <w:lang w:eastAsia="en-US"/>
        </w:rPr>
      </w:pPr>
      <w:bookmarkStart w:id="198" w:name="_Toc74045247"/>
      <w:bookmarkStart w:id="199" w:name="_Toc74087532"/>
      <w:bookmarkStart w:id="200" w:name="_Toc74258648"/>
      <w:r w:rsidRPr="00AC29E4">
        <w:rPr>
          <w:lang w:eastAsia="en-US"/>
        </w:rPr>
        <w:t>Data Collection</w:t>
      </w:r>
      <w:bookmarkEnd w:id="198"/>
      <w:bookmarkEnd w:id="199"/>
      <w:bookmarkEnd w:id="200"/>
    </w:p>
    <w:p w14:paraId="0E6C4B63"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For sample size determination, we followed the guidance from the literature for attaining “saturation” </w:t>
      </w:r>
      <w:r w:rsidRPr="00AC29E4">
        <w:rPr>
          <w:rFonts w:cs="Times New Roman"/>
          <w:noProof/>
          <w:kern w:val="0"/>
          <w:szCs w:val="24"/>
          <w:lang w:eastAsia="en-US"/>
        </w:rPr>
        <w:t>(Teddlie &amp; Tashakkori, 2009)</w:t>
      </w:r>
      <w:r w:rsidRPr="00AC29E4">
        <w:rPr>
          <w:rFonts w:cs="Times New Roman"/>
          <w:kern w:val="0"/>
          <w:szCs w:val="24"/>
          <w:lang w:eastAsia="en-US"/>
        </w:rPr>
        <w:t xml:space="preserve"> in the themes provided by the interviewees. To ascertain that saturation had been achieved, we employed an </w:t>
      </w:r>
      <w:r w:rsidRPr="00AC29E4">
        <w:rPr>
          <w:rFonts w:cs="Times New Roman"/>
          <w:i/>
          <w:iCs/>
          <w:kern w:val="0"/>
          <w:szCs w:val="24"/>
          <w:lang w:eastAsia="en-US"/>
        </w:rPr>
        <w:t>a priori</w:t>
      </w:r>
      <w:r w:rsidRPr="00AC29E4">
        <w:rPr>
          <w:rFonts w:cs="Times New Roman"/>
          <w:kern w:val="0"/>
          <w:szCs w:val="24"/>
          <w:lang w:eastAsia="en-US"/>
        </w:rPr>
        <w:t xml:space="preserve"> “stopping criterion.” This criterion refers to the number of interviews that need to be conducted after the initial analysis of interviews. Initially, we conducted 15 interviews and another five interviews to ascertain that thematic saturation had been achieved </w:t>
      </w:r>
      <w:r w:rsidRPr="00AC29E4">
        <w:rPr>
          <w:rFonts w:cs="Times New Roman"/>
          <w:noProof/>
          <w:kern w:val="0"/>
          <w:szCs w:val="24"/>
          <w:lang w:eastAsia="en-US"/>
        </w:rPr>
        <w:t>(Francis et al., 2010)</w:t>
      </w:r>
      <w:r w:rsidRPr="00AC29E4">
        <w:rPr>
          <w:rFonts w:cs="Times New Roman"/>
          <w:kern w:val="0"/>
          <w:szCs w:val="24"/>
          <w:lang w:eastAsia="en-US"/>
        </w:rPr>
        <w:t xml:space="preserve">. We interviewed cybersecurity professionals employed in one or more of the job roles as described by the National Institute of Science and Technology’s NICE (The National Initiative for Cyber Security Education) framework </w:t>
      </w:r>
      <w:r w:rsidRPr="00AC29E4">
        <w:rPr>
          <w:rFonts w:cs="Times New Roman"/>
          <w:noProof/>
          <w:kern w:val="0"/>
          <w:szCs w:val="24"/>
          <w:lang w:eastAsia="en-US"/>
        </w:rPr>
        <w:t>(Newhouse et al., 2017)</w:t>
      </w:r>
      <w:r>
        <w:rPr>
          <w:rFonts w:cs="Times New Roman"/>
          <w:kern w:val="0"/>
          <w:szCs w:val="24"/>
          <w:lang w:eastAsia="en-US"/>
        </w:rPr>
        <w:t>. See appendix F for detailed interview protocol.</w:t>
      </w:r>
    </w:p>
    <w:p w14:paraId="6B94C391" w14:textId="1D62F3CC"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Most of the participants had a job function of “oversee and govern,” where they provided leadership, guidance, management, and advocacy for organizations to effectively function in their cybersecurity functions. The second most common job role was “protect and defend,” where the cybersecurity professionals would identify, analyze, and mitigate threats to the organization’s information security assets. The cybersecurity professionals also performed high-specialized review</w:t>
      </w:r>
      <w:r>
        <w:rPr>
          <w:rFonts w:cs="Times New Roman"/>
          <w:kern w:val="0"/>
          <w:szCs w:val="24"/>
          <w:lang w:eastAsia="en-US"/>
        </w:rPr>
        <w:t>s</w:t>
      </w:r>
      <w:r w:rsidRPr="00AC29E4">
        <w:rPr>
          <w:rFonts w:cs="Times New Roman"/>
          <w:kern w:val="0"/>
          <w:szCs w:val="24"/>
          <w:lang w:eastAsia="en-US"/>
        </w:rPr>
        <w:t xml:space="preserve"> and evaluations of the incoming cybersecurity information to determine its usefulness for intelligence</w:t>
      </w:r>
      <w:r w:rsidR="00697AEF">
        <w:rPr>
          <w:rFonts w:cs="Times New Roman"/>
          <w:kern w:val="0"/>
          <w:szCs w:val="24"/>
          <w:lang w:eastAsia="en-US"/>
        </w:rPr>
        <w:t xml:space="preserve">. This </w:t>
      </w:r>
      <w:r w:rsidRPr="00AC29E4">
        <w:rPr>
          <w:rFonts w:cs="Times New Roman"/>
          <w:kern w:val="0"/>
          <w:szCs w:val="24"/>
          <w:lang w:eastAsia="en-US"/>
        </w:rPr>
        <w:t xml:space="preserve">was the third most common job role among the participants. Although most cybersecurity professionals had overlapping job roles, some of them even performed all the job roles, as mentioned by the NICE framework. Overall, the cybersecurity </w:t>
      </w:r>
      <w:r w:rsidRPr="00AC29E4">
        <w:rPr>
          <w:rFonts w:cs="Times New Roman"/>
          <w:kern w:val="0"/>
          <w:szCs w:val="24"/>
          <w:lang w:eastAsia="en-US"/>
        </w:rPr>
        <w:lastRenderedPageBreak/>
        <w:t xml:space="preserve">professionals in our sample had 5 to 36 years of experience with EMS technologies, with an average experience of 16 years. </w:t>
      </w:r>
    </w:p>
    <w:p w14:paraId="451F9121" w14:textId="77777777" w:rsidR="003E5B95" w:rsidRPr="00AC29E4" w:rsidRDefault="003E5B95" w:rsidP="003E5B95">
      <w:pPr>
        <w:pStyle w:val="Heading2"/>
        <w:rPr>
          <w:lang w:eastAsia="en-US"/>
        </w:rPr>
      </w:pPr>
      <w:bookmarkStart w:id="201" w:name="_Toc74045248"/>
      <w:bookmarkStart w:id="202" w:name="_Toc74087533"/>
      <w:bookmarkStart w:id="203" w:name="_Toc74258649"/>
      <w:r w:rsidRPr="00AC29E4">
        <w:rPr>
          <w:lang w:eastAsia="en-US"/>
        </w:rPr>
        <w:t>Data Analysis</w:t>
      </w:r>
      <w:bookmarkEnd w:id="201"/>
      <w:bookmarkEnd w:id="202"/>
      <w:bookmarkEnd w:id="203"/>
    </w:p>
    <w:p w14:paraId="670F77C7"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Our qualitative data analysis procedure followed a framework analysis process </w:t>
      </w:r>
      <w:r w:rsidRPr="00AC29E4">
        <w:rPr>
          <w:rFonts w:cs="Times New Roman"/>
          <w:noProof/>
          <w:kern w:val="0"/>
          <w:szCs w:val="24"/>
          <w:lang w:eastAsia="en-US"/>
        </w:rPr>
        <w:t>(Spencer &amp; Ritchie, 2002)</w:t>
      </w:r>
      <w:r w:rsidRPr="00AC29E4">
        <w:rPr>
          <w:rFonts w:cs="Times New Roman"/>
          <w:kern w:val="0"/>
          <w:szCs w:val="24"/>
          <w:lang w:eastAsia="en-US"/>
        </w:rPr>
        <w:t xml:space="preserve">. We used NVivo v12 to organize and analyze our data, which came from interview recordings transcribed by a professional service (transcribeme.com). </w:t>
      </w:r>
      <w:r>
        <w:rPr>
          <w:rFonts w:cs="Times New Roman"/>
          <w:kern w:val="0"/>
          <w:szCs w:val="24"/>
          <w:lang w:eastAsia="en-US"/>
        </w:rPr>
        <w:t xml:space="preserve">Participants’ characteristics are summarized in Appendix G (Table G1). </w:t>
      </w:r>
      <w:r w:rsidRPr="00AC29E4">
        <w:rPr>
          <w:rFonts w:cs="Times New Roman"/>
          <w:kern w:val="0"/>
          <w:szCs w:val="24"/>
          <w:lang w:eastAsia="en-US"/>
        </w:rPr>
        <w:t xml:space="preserve">The steps delineated in the framework analysis, as applied to the current study, are described below. </w:t>
      </w:r>
    </w:p>
    <w:p w14:paraId="5772F07F" w14:textId="77777777" w:rsidR="003E5B95" w:rsidRPr="00AC29E4" w:rsidRDefault="003E5B95" w:rsidP="003E5B95">
      <w:pPr>
        <w:numPr>
          <w:ilvl w:val="0"/>
          <w:numId w:val="4"/>
        </w:numPr>
        <w:spacing w:after="160"/>
        <w:contextualSpacing w:val="0"/>
        <w:rPr>
          <w:rFonts w:cs="Times New Roman"/>
          <w:kern w:val="0"/>
          <w:szCs w:val="24"/>
          <w:lang w:eastAsia="en-US"/>
        </w:rPr>
      </w:pPr>
      <w:r w:rsidRPr="00AC29E4">
        <w:rPr>
          <w:rFonts w:cs="Times New Roman"/>
          <w:kern w:val="0"/>
          <w:szCs w:val="24"/>
          <w:lang w:eastAsia="en-US"/>
        </w:rPr>
        <w:t xml:space="preserve">Familiarization: This step involved immersion in the data. To accomplish this goal, the interview recordings were first transcribed and then reviewed to identify key ideas and recurrent themes. As a result of this step, we identified that cybersecurity professionals’ place emphasis on EMS technology characteristics, the organizational environment within which such practices are deployed, and how such practices influence their psychological states. </w:t>
      </w:r>
    </w:p>
    <w:p w14:paraId="6F8124DB" w14:textId="57F3F154" w:rsidR="003E5B95" w:rsidRPr="00AC29E4" w:rsidRDefault="003E5B95" w:rsidP="003E5B95">
      <w:pPr>
        <w:numPr>
          <w:ilvl w:val="0"/>
          <w:numId w:val="4"/>
        </w:numPr>
        <w:spacing w:after="160"/>
        <w:contextualSpacing w:val="0"/>
        <w:rPr>
          <w:rFonts w:cs="Times New Roman"/>
          <w:kern w:val="0"/>
          <w:szCs w:val="24"/>
          <w:lang w:eastAsia="en-US"/>
        </w:rPr>
      </w:pPr>
      <w:r w:rsidRPr="00AC29E4">
        <w:rPr>
          <w:rFonts w:cs="Times New Roman"/>
          <w:kern w:val="0"/>
          <w:szCs w:val="24"/>
          <w:lang w:eastAsia="en-US"/>
        </w:rPr>
        <w:t xml:space="preserve"> Identifying a research framework: In this step, we applied a thematic framework of a priori stress literature (such as technostress, challenge, and hindrance stress, coping, etc.) to sift and sort through the material. We set up some themes a priori that emerged from the prior stress research literature. Examples of such themes include technology characteristics such as the usefulness and complexity of EMS technology. Psychological experiences emerging from the organization’s EMS practices were identified as </w:t>
      </w:r>
      <w:r w:rsidR="00697AEF">
        <w:rPr>
          <w:rFonts w:cs="Times New Roman"/>
          <w:kern w:val="0"/>
          <w:szCs w:val="24"/>
          <w:lang w:eastAsia="en-US"/>
        </w:rPr>
        <w:t xml:space="preserve">a </w:t>
      </w:r>
      <w:r w:rsidRPr="00AC29E4">
        <w:rPr>
          <w:rFonts w:cs="Times New Roman"/>
          <w:kern w:val="0"/>
          <w:szCs w:val="24"/>
          <w:lang w:eastAsia="en-US"/>
        </w:rPr>
        <w:t xml:space="preserve">challenge and hindrance stress. Some themes emerged from the data, as identified by the participants. Examples of such themes include the interoperability of EMS technology, false alarms, and the security climate within which EMS practices are deployed. Finally, some reoccurring themes showed patterns of views and experiences. These themes are known as analytical themes, and examples of such </w:t>
      </w:r>
      <w:r w:rsidRPr="00AC29E4">
        <w:rPr>
          <w:rFonts w:cs="Times New Roman"/>
          <w:kern w:val="0"/>
          <w:szCs w:val="24"/>
          <w:lang w:eastAsia="en-US"/>
        </w:rPr>
        <w:lastRenderedPageBreak/>
        <w:t>themes in our research included the identification of savoring and coping strategies. All these themes were set as nodes in NVivo and reflected either as the key stages or the subcomponents in the multistage DAM.</w:t>
      </w:r>
    </w:p>
    <w:p w14:paraId="486FD4E7" w14:textId="77777777" w:rsidR="003E5B95" w:rsidRPr="00AC29E4" w:rsidRDefault="003E5B95" w:rsidP="003E5B95">
      <w:pPr>
        <w:numPr>
          <w:ilvl w:val="0"/>
          <w:numId w:val="4"/>
        </w:numPr>
        <w:spacing w:after="160"/>
        <w:contextualSpacing w:val="0"/>
        <w:rPr>
          <w:rFonts w:cs="Times New Roman"/>
          <w:kern w:val="0"/>
          <w:szCs w:val="24"/>
          <w:lang w:eastAsia="en-US"/>
        </w:rPr>
      </w:pPr>
      <w:r w:rsidRPr="00AC29E4">
        <w:rPr>
          <w:rFonts w:cs="Times New Roman"/>
          <w:kern w:val="0"/>
          <w:szCs w:val="24"/>
          <w:lang w:eastAsia="en-US"/>
        </w:rPr>
        <w:t xml:space="preserve">Indexing: In this step, we systematically applied research themes to textual data, and in doing so, we organized the transcripts as per the themes into the research themes without losing the context of statements. As a result, we coded the participants’ responses on the nodes in NVivo. </w:t>
      </w:r>
    </w:p>
    <w:p w14:paraId="054778C4" w14:textId="77777777" w:rsidR="003E5B95" w:rsidRPr="00AC29E4" w:rsidRDefault="003E5B95" w:rsidP="003E5B95">
      <w:pPr>
        <w:numPr>
          <w:ilvl w:val="0"/>
          <w:numId w:val="4"/>
        </w:numPr>
        <w:spacing w:after="160"/>
        <w:contextualSpacing w:val="0"/>
        <w:rPr>
          <w:rFonts w:cs="Times New Roman"/>
          <w:kern w:val="0"/>
          <w:szCs w:val="24"/>
          <w:lang w:eastAsia="en-US"/>
        </w:rPr>
      </w:pPr>
      <w:r w:rsidRPr="00AC29E4">
        <w:rPr>
          <w:rFonts w:cs="Times New Roman"/>
          <w:kern w:val="0"/>
          <w:szCs w:val="24"/>
          <w:lang w:eastAsia="en-US"/>
        </w:rPr>
        <w:t xml:space="preserve">Charting: This step involved devising a plan to present the data and write up for the study in the best manner possible. As a result of this step, we indexed data to create the tabular representation of each theme (Appendix </w:t>
      </w:r>
      <w:r>
        <w:rPr>
          <w:rFonts w:cs="Times New Roman"/>
          <w:kern w:val="0"/>
          <w:szCs w:val="24"/>
          <w:lang w:eastAsia="en-US"/>
        </w:rPr>
        <w:t>H)</w:t>
      </w:r>
      <w:r w:rsidRPr="00AC29E4">
        <w:rPr>
          <w:rFonts w:cs="Times New Roman"/>
          <w:kern w:val="0"/>
          <w:szCs w:val="24"/>
          <w:lang w:eastAsia="en-US"/>
        </w:rPr>
        <w:t xml:space="preserve">, which are later called constructs in our research model. </w:t>
      </w:r>
    </w:p>
    <w:p w14:paraId="21F09853" w14:textId="77777777" w:rsidR="003E5B95" w:rsidRPr="00AC29E4" w:rsidRDefault="003E5B95" w:rsidP="003E5B95">
      <w:pPr>
        <w:numPr>
          <w:ilvl w:val="0"/>
          <w:numId w:val="4"/>
        </w:numPr>
        <w:spacing w:after="160"/>
        <w:contextualSpacing w:val="0"/>
        <w:rPr>
          <w:rFonts w:cs="Times New Roman"/>
          <w:kern w:val="0"/>
          <w:szCs w:val="24"/>
          <w:lang w:eastAsia="en-US"/>
        </w:rPr>
      </w:pPr>
      <w:r w:rsidRPr="00AC29E4">
        <w:rPr>
          <w:rFonts w:cs="Times New Roman"/>
          <w:kern w:val="0"/>
          <w:szCs w:val="24"/>
          <w:lang w:eastAsia="en-US"/>
        </w:rPr>
        <w:t xml:space="preserve">Mapping and interpretation: In this step, data are interpreted by putting together the key characteristics of the data. As a result of this step, we were able to use supporting quotes from Appendix </w:t>
      </w:r>
      <w:r>
        <w:rPr>
          <w:rFonts w:cs="Times New Roman"/>
          <w:kern w:val="0"/>
          <w:szCs w:val="24"/>
          <w:lang w:eastAsia="en-US"/>
        </w:rPr>
        <w:t xml:space="preserve">H </w:t>
      </w:r>
      <w:r w:rsidRPr="00AC29E4">
        <w:rPr>
          <w:rFonts w:cs="Times New Roman"/>
          <w:kern w:val="0"/>
          <w:szCs w:val="24"/>
          <w:lang w:eastAsia="en-US"/>
        </w:rPr>
        <w:t>to develop the research model that is being tested in the quantitative phase. The interpretation of these quotes is presented as part of the qualitative study results.</w:t>
      </w:r>
    </w:p>
    <w:p w14:paraId="26106692" w14:textId="77777777" w:rsidR="003E5B95" w:rsidRPr="004011E1" w:rsidRDefault="003E5B95" w:rsidP="003E5B95">
      <w:pPr>
        <w:pStyle w:val="Heading1"/>
        <w:rPr>
          <w:b/>
          <w:bCs/>
          <w:lang w:eastAsia="en-US"/>
        </w:rPr>
      </w:pPr>
      <w:bookmarkStart w:id="204" w:name="_Toc74087534"/>
      <w:bookmarkStart w:id="205" w:name="_Toc74258650"/>
      <w:r w:rsidRPr="004011E1">
        <w:rPr>
          <w:b/>
          <w:bCs/>
          <w:lang w:eastAsia="en-US"/>
        </w:rPr>
        <w:t>RESULTS OF THE QUALITATIVE STUDY</w:t>
      </w:r>
      <w:bookmarkEnd w:id="204"/>
      <w:bookmarkEnd w:id="205"/>
    </w:p>
    <w:p w14:paraId="5E3BAE47" w14:textId="77777777" w:rsidR="003E5B95" w:rsidRPr="00AC29E4"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The results of our qualitative study—specifically the framework analysis process—are described below and segregated to the stage of the DAM to which they are the most applicable. </w:t>
      </w:r>
    </w:p>
    <w:p w14:paraId="3299BF52" w14:textId="77777777" w:rsidR="003E5B95" w:rsidRDefault="003E5B95" w:rsidP="003E5B95">
      <w:pPr>
        <w:keepNext/>
        <w:spacing w:after="160"/>
        <w:ind w:firstLine="0"/>
        <w:contextualSpacing w:val="0"/>
        <w:rPr>
          <w:rFonts w:cs="Times New Roman"/>
          <w:b/>
          <w:bCs/>
          <w:kern w:val="0"/>
          <w:szCs w:val="24"/>
          <w:lang w:eastAsia="en-US"/>
        </w:rPr>
      </w:pPr>
      <w:bookmarkStart w:id="206" w:name="_Toc74045250"/>
      <w:bookmarkStart w:id="207" w:name="_Toc74087535"/>
      <w:bookmarkStart w:id="208" w:name="_Toc74258651"/>
      <w:r w:rsidRPr="004915C9">
        <w:rPr>
          <w:rStyle w:val="Heading2Char"/>
        </w:rPr>
        <w:t>Stage I: Demand Relevance</w:t>
      </w:r>
      <w:bookmarkEnd w:id="206"/>
      <w:bookmarkEnd w:id="207"/>
      <w:bookmarkEnd w:id="208"/>
      <w:r w:rsidRPr="00AC29E4">
        <w:rPr>
          <w:rFonts w:cs="Times New Roman"/>
          <w:b/>
          <w:bCs/>
          <w:kern w:val="0"/>
          <w:szCs w:val="24"/>
          <w:lang w:eastAsia="en-US"/>
        </w:rPr>
        <w:t xml:space="preserve"> </w:t>
      </w:r>
    </w:p>
    <w:p w14:paraId="4F4D8B59" w14:textId="77777777" w:rsidR="003E5B95" w:rsidRPr="00AC29E4"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When encountered with EMS technologies (demands) in the workplace, a cybersecurity professional appraises the technologies in terms of their relevance to his/her work goals. The extent to which an EMS technology is deemed relevant depends on the environment in which the </w:t>
      </w:r>
      <w:r w:rsidRPr="00AC29E4">
        <w:rPr>
          <w:rFonts w:cs="Times New Roman"/>
          <w:kern w:val="0"/>
          <w:szCs w:val="24"/>
          <w:lang w:eastAsia="en-US"/>
        </w:rPr>
        <w:lastRenderedPageBreak/>
        <w:t xml:space="preserve">technologies are implemented and/or maintained, as well as the personal disposition of the professional conducting the appraisal. The results of our qualitative study point to several EMS technology characteristics that may influence their relevance to a cybersecurity professional, such as </w:t>
      </w:r>
      <w:r w:rsidRPr="00AC29E4">
        <w:rPr>
          <w:rFonts w:cs="Times New Roman"/>
          <w:kern w:val="0"/>
          <w:szCs w:val="24"/>
          <w:u w:val="single"/>
          <w:lang w:eastAsia="en-US"/>
        </w:rPr>
        <w:t>usefulness</w:t>
      </w:r>
      <w:r w:rsidRPr="00AC29E4">
        <w:rPr>
          <w:rFonts w:cs="Times New Roman"/>
          <w:kern w:val="0"/>
          <w:szCs w:val="24"/>
          <w:lang w:eastAsia="en-US"/>
        </w:rPr>
        <w:t xml:space="preserve">, </w:t>
      </w:r>
      <w:r w:rsidRPr="00AC29E4">
        <w:rPr>
          <w:rFonts w:cs="Times New Roman"/>
          <w:kern w:val="0"/>
          <w:szCs w:val="24"/>
          <w:u w:val="single"/>
          <w:lang w:eastAsia="en-US"/>
        </w:rPr>
        <w:t>complexity</w:t>
      </w:r>
      <w:r w:rsidRPr="00AC29E4">
        <w:rPr>
          <w:rFonts w:cs="Times New Roman"/>
          <w:kern w:val="0"/>
          <w:szCs w:val="24"/>
          <w:lang w:eastAsia="en-US"/>
        </w:rPr>
        <w:t xml:space="preserve">, </w:t>
      </w:r>
      <w:r w:rsidRPr="00AC29E4">
        <w:rPr>
          <w:rFonts w:cs="Times New Roman"/>
          <w:kern w:val="0"/>
          <w:szCs w:val="24"/>
          <w:u w:val="single"/>
          <w:lang w:eastAsia="en-US"/>
        </w:rPr>
        <w:t>interoperability</w:t>
      </w:r>
      <w:r w:rsidRPr="00AC29E4">
        <w:rPr>
          <w:rFonts w:cs="Times New Roman"/>
          <w:kern w:val="0"/>
          <w:szCs w:val="24"/>
          <w:lang w:eastAsia="en-US"/>
        </w:rPr>
        <w:t xml:space="preserve">, and the technology’s </w:t>
      </w:r>
      <w:r w:rsidRPr="00AC29E4">
        <w:rPr>
          <w:rFonts w:cs="Times New Roman"/>
          <w:kern w:val="0"/>
          <w:szCs w:val="24"/>
          <w:u w:val="single"/>
          <w:lang w:eastAsia="en-US"/>
        </w:rPr>
        <w:t>rate of false alarms</w:t>
      </w:r>
      <w:r w:rsidRPr="00AC29E4">
        <w:rPr>
          <w:rFonts w:cs="Times New Roman"/>
          <w:kern w:val="0"/>
          <w:szCs w:val="24"/>
          <w:lang w:eastAsia="en-US"/>
        </w:rPr>
        <w:t xml:space="preserve">. For example, one cybersecurity consultant described the </w:t>
      </w:r>
      <w:r w:rsidRPr="00AC29E4">
        <w:rPr>
          <w:rFonts w:cs="Times New Roman"/>
          <w:kern w:val="0"/>
          <w:szCs w:val="24"/>
          <w:u w:val="single"/>
          <w:lang w:eastAsia="en-US"/>
        </w:rPr>
        <w:t>usefulness</w:t>
      </w:r>
      <w:r w:rsidRPr="00AC29E4">
        <w:rPr>
          <w:rFonts w:cs="Times New Roman"/>
          <w:kern w:val="0"/>
          <w:szCs w:val="24"/>
          <w:lang w:eastAsia="en-US"/>
        </w:rPr>
        <w:t xml:space="preserve"> of EMS technologies as follows: </w:t>
      </w:r>
    </w:p>
    <w:p w14:paraId="6CE7B803"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I think it’s good to have them in place because, that way, in the case of a breach and everything, they’re [cybersecurity professionals] able to go back, or if there’s some sort of incident, they’re able to go back and, at least, get to the origin of it and figure out some idea of what happened. That way they can fix the problem and minimize the impact.</w:t>
      </w:r>
    </w:p>
    <w:p w14:paraId="108B2D66" w14:textId="77777777" w:rsidR="003E5B95" w:rsidRPr="00AC29E4" w:rsidRDefault="003E5B95" w:rsidP="003E5B95">
      <w:pPr>
        <w:widowControl w:val="0"/>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ind w:right="72"/>
        <w:contextualSpacing w:val="0"/>
        <w:rPr>
          <w:rFonts w:cs="Times New Roman"/>
          <w:kern w:val="0"/>
          <w:szCs w:val="24"/>
          <w:lang w:eastAsia="en-US"/>
        </w:rPr>
      </w:pPr>
      <w:r w:rsidRPr="00AC29E4">
        <w:rPr>
          <w:rFonts w:cs="Times New Roman"/>
          <w:kern w:val="0"/>
          <w:szCs w:val="24"/>
          <w:lang w:eastAsia="en-US"/>
        </w:rPr>
        <w:t xml:space="preserve">Similarly, another cybersecurity analyst described </w:t>
      </w:r>
      <w:r w:rsidRPr="00AC29E4">
        <w:rPr>
          <w:rFonts w:cs="Times New Roman"/>
          <w:kern w:val="0"/>
          <w:szCs w:val="24"/>
          <w:u w:val="single"/>
          <w:lang w:eastAsia="en-US"/>
        </w:rPr>
        <w:t>usefulness</w:t>
      </w:r>
      <w:r w:rsidRPr="00AC29E4">
        <w:rPr>
          <w:rFonts w:cs="Times New Roman"/>
          <w:kern w:val="0"/>
          <w:szCs w:val="24"/>
          <w:lang w:eastAsia="en-US"/>
        </w:rPr>
        <w:t xml:space="preserve"> and </w:t>
      </w:r>
      <w:r w:rsidRPr="00AC29E4">
        <w:rPr>
          <w:rFonts w:cs="Times New Roman"/>
          <w:kern w:val="0"/>
          <w:szCs w:val="24"/>
          <w:u w:val="single"/>
          <w:lang w:eastAsia="en-US"/>
        </w:rPr>
        <w:t>complexity</w:t>
      </w:r>
      <w:r w:rsidRPr="00AC29E4">
        <w:rPr>
          <w:rFonts w:cs="Times New Roman"/>
          <w:kern w:val="0"/>
          <w:szCs w:val="24"/>
          <w:lang w:eastAsia="en-US"/>
        </w:rPr>
        <w:t xml:space="preserve"> as follows: </w:t>
      </w:r>
    </w:p>
    <w:p w14:paraId="46596185"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The characteristics that make it complex are the amount of time to do the analysis while serving in a capacity where I have multiple responsibilities that I have to perform and the amount of time for analysis being a huge driver for how well you do that continual monitoring.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the ease of use or the less complex of the tool, or the most intuitive of the tool, the better. Because I can’t dedicate all my time to analysis completely.</w:t>
      </w:r>
    </w:p>
    <w:p w14:paraId="6DFEFF62" w14:textId="2567F765" w:rsidR="003E5B95" w:rsidRPr="00AC29E4" w:rsidRDefault="003E5B95" w:rsidP="00C83BE0">
      <w:pPr>
        <w:keepNext/>
        <w:spacing w:before="240" w:after="160"/>
        <w:contextualSpacing w:val="0"/>
        <w:rPr>
          <w:rFonts w:cs="Times New Roman"/>
          <w:kern w:val="0"/>
          <w:szCs w:val="24"/>
          <w:lang w:eastAsia="en-US"/>
        </w:rPr>
      </w:pPr>
      <w:r w:rsidRPr="00AC29E4">
        <w:rPr>
          <w:rFonts w:cs="Times New Roman"/>
          <w:kern w:val="0"/>
          <w:szCs w:val="24"/>
          <w:lang w:eastAsia="en-US"/>
        </w:rPr>
        <w:t xml:space="preserve">The </w:t>
      </w:r>
      <w:r w:rsidRPr="00AC29E4">
        <w:rPr>
          <w:rFonts w:cs="Times New Roman"/>
          <w:kern w:val="0"/>
          <w:szCs w:val="24"/>
          <w:u w:val="single"/>
          <w:lang w:eastAsia="en-US"/>
        </w:rPr>
        <w:t>complexity</w:t>
      </w:r>
      <w:r w:rsidRPr="00AC29E4">
        <w:rPr>
          <w:rFonts w:cs="Times New Roman"/>
          <w:kern w:val="0"/>
          <w:szCs w:val="24"/>
          <w:lang w:eastAsia="en-US"/>
        </w:rPr>
        <w:t xml:space="preserve"> of EMS technology is the degree to which EMS technology is free of effort. We found a consensus among cybersecurity professionals that EMS technologies are complex to use. One participant who worked in the role of a cybersecurity analyst described EMS technologies as complex</w:t>
      </w:r>
      <w:r w:rsidR="00697AEF">
        <w:rPr>
          <w:rFonts w:cs="Times New Roman"/>
          <w:kern w:val="0"/>
          <w:szCs w:val="24"/>
          <w:lang w:eastAsia="en-US"/>
        </w:rPr>
        <w:t xml:space="preserve">, </w:t>
      </w:r>
      <w:r w:rsidRPr="00AC29E4">
        <w:rPr>
          <w:rFonts w:cs="Times New Roman"/>
          <w:kern w:val="0"/>
          <w:szCs w:val="24"/>
          <w:lang w:eastAsia="en-US"/>
        </w:rPr>
        <w:t xml:space="preserve">and that expertise was needed to understand the data logs from these technologies, especially when employees work remotely. Although these technologies are complex, investment in EMS technology is necessary to protect businesses from both insider threats and external security threats. He stated the following: </w:t>
      </w:r>
    </w:p>
    <w:p w14:paraId="6A984B29"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Of course, they [EMS technologies] are complex to use. It's just that nobody can—you need proper expertise to understand that data and have a good monitoring system. But if you’re running a company with 2,000 employees, then you need to have that. Otherwise, it would be difficult that having those employees remote; you need to make sure that your company is in safe hands.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there is an investment that's needed toward that. It is complex. It's not easy. I can say that, but yeah, of course, it provides its result, so worth the investment.</w:t>
      </w:r>
    </w:p>
    <w:p w14:paraId="6F8847C5" w14:textId="77777777" w:rsidR="003E5B95" w:rsidRPr="00AC29E4" w:rsidRDefault="003E5B95" w:rsidP="00C83BE0">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line="240" w:lineRule="auto"/>
        <w:ind w:right="72"/>
        <w:contextualSpacing w:val="0"/>
        <w:rPr>
          <w:rFonts w:cs="Times New Roman"/>
          <w:kern w:val="0"/>
          <w:szCs w:val="24"/>
          <w:lang w:eastAsia="en-US"/>
        </w:rPr>
      </w:pPr>
      <w:r w:rsidRPr="00AC29E4">
        <w:rPr>
          <w:rFonts w:cs="Times New Roman"/>
          <w:kern w:val="0"/>
          <w:szCs w:val="24"/>
          <w:lang w:eastAsia="en-US"/>
        </w:rPr>
        <w:lastRenderedPageBreak/>
        <w:t xml:space="preserve">Another cybersecurity analyst with more than 10 years of experience described </w:t>
      </w:r>
      <w:r w:rsidRPr="00AC29E4">
        <w:rPr>
          <w:rFonts w:cs="Times New Roman"/>
          <w:kern w:val="0"/>
          <w:szCs w:val="24"/>
          <w:u w:val="single"/>
          <w:lang w:eastAsia="en-US"/>
        </w:rPr>
        <w:t>complexity</w:t>
      </w:r>
      <w:r w:rsidRPr="00AC29E4">
        <w:rPr>
          <w:rFonts w:cs="Times New Roman"/>
          <w:kern w:val="0"/>
          <w:szCs w:val="24"/>
          <w:lang w:eastAsia="en-US"/>
        </w:rPr>
        <w:t xml:space="preserve"> as follows: </w:t>
      </w:r>
    </w:p>
    <w:p w14:paraId="5A3655A3"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I would say the firewalls are probably the most complex because now, the new firewalls that they got out got so many different modules and features and functions, unlike the old days where a firewall just was a permit-allow only.</w:t>
      </w:r>
    </w:p>
    <w:p w14:paraId="71803ED4" w14:textId="77777777" w:rsidR="003E5B95" w:rsidRPr="00AC29E4" w:rsidRDefault="003E5B95" w:rsidP="00C83BE0">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kern w:val="0"/>
          <w:szCs w:val="24"/>
          <w:lang w:eastAsia="en-US"/>
        </w:rPr>
        <w:t xml:space="preserve">Another EMS technology characteristic that cybersecurity professionals found stressful was the </w:t>
      </w:r>
      <w:r w:rsidRPr="00AC29E4">
        <w:rPr>
          <w:rFonts w:cs="Times New Roman"/>
          <w:kern w:val="0"/>
          <w:szCs w:val="24"/>
          <w:u w:val="single"/>
          <w:lang w:eastAsia="en-US"/>
        </w:rPr>
        <w:t>rate of false alarms</w:t>
      </w:r>
      <w:r w:rsidRPr="00AC29E4">
        <w:rPr>
          <w:rFonts w:cs="Times New Roman"/>
          <w:kern w:val="0"/>
          <w:szCs w:val="24"/>
          <w:lang w:eastAsia="en-US"/>
        </w:rPr>
        <w:t xml:space="preserve"> (the rate of false positives and false negatives) generated by EMS technologies. Although organizations invest in security technologies such as firewalls and intrusion detection systems (IDS), the return of investment is realized only once such technologies effectively manage security risk while having a clean integration with the other existing technologies in the organization (</w:t>
      </w:r>
      <w:r w:rsidRPr="00AC29E4">
        <w:rPr>
          <w:rFonts w:cs="Times New Roman"/>
          <w:kern w:val="0"/>
          <w:szCs w:val="24"/>
          <w:u w:val="single"/>
          <w:lang w:eastAsia="en-US"/>
        </w:rPr>
        <w:t>interoperability</w:t>
      </w:r>
      <w:r w:rsidRPr="00AC29E4">
        <w:rPr>
          <w:rFonts w:cs="Times New Roman"/>
          <w:kern w:val="0"/>
          <w:szCs w:val="24"/>
          <w:lang w:eastAsia="en-US"/>
        </w:rPr>
        <w:t xml:space="preserve">). However, the integration of these technologies is not often perfect, resulting in false positives (security warning when there is no intrusion) and false negatives (no warning when there is an intrusion) </w:t>
      </w:r>
      <w:r w:rsidRPr="00AC29E4">
        <w:rPr>
          <w:rFonts w:cs="Times New Roman"/>
          <w:noProof/>
          <w:kern w:val="0"/>
          <w:szCs w:val="24"/>
          <w:lang w:eastAsia="en-US"/>
        </w:rPr>
        <w:t>(Cavusoglu et al., 2005)</w:t>
      </w:r>
      <w:r w:rsidRPr="00AC29E4">
        <w:rPr>
          <w:rFonts w:cs="Times New Roman"/>
          <w:kern w:val="0"/>
          <w:szCs w:val="24"/>
          <w:lang w:eastAsia="en-US"/>
        </w:rPr>
        <w:t xml:space="preserve">. One cybersecurity consultant described the </w:t>
      </w:r>
      <w:r w:rsidRPr="00AC29E4">
        <w:rPr>
          <w:rFonts w:cs="Times New Roman"/>
          <w:kern w:val="0"/>
          <w:szCs w:val="24"/>
          <w:u w:val="single"/>
          <w:lang w:eastAsia="en-US"/>
        </w:rPr>
        <w:t>rate of false alarms</w:t>
      </w:r>
      <w:r w:rsidRPr="00AC29E4">
        <w:rPr>
          <w:rFonts w:cs="Times New Roman"/>
          <w:kern w:val="0"/>
          <w:szCs w:val="24"/>
          <w:lang w:eastAsia="en-US"/>
        </w:rPr>
        <w:t xml:space="preserve"> as follows: </w:t>
      </w:r>
    </w:p>
    <w:p w14:paraId="5FF74B71"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The difficulty is probably as we call false positives where the software—when you initially turn these technologies on, they generally find false positives, right? Occurrences that are not really breaches of policy or breaches of law or anything like that.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I think sifting through the vast volume of information, the technologies, artificial intelligence, and machine learning is still at the early stages in technology, and this is my opinion.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my experience would be client companies were having the difficulty in sifting through what is truly a problem, a breach, a breach of policy, etcetera, versus what is just appropriate usage but just was caught by the technology.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I would think that would be the most difficult [technology characteristic].</w:t>
      </w:r>
    </w:p>
    <w:p w14:paraId="2D1614C7" w14:textId="77777777" w:rsidR="003E5B95" w:rsidRPr="00AC29E4" w:rsidRDefault="003E5B95" w:rsidP="00C83BE0">
      <w:pPr>
        <w:widowControl w:val="0"/>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kern w:val="0"/>
          <w:szCs w:val="24"/>
          <w:lang w:eastAsia="en-US"/>
        </w:rPr>
        <w:t xml:space="preserve">Similarly, another vice president and director of security at a financial institution described the </w:t>
      </w:r>
      <w:r w:rsidRPr="00AC29E4">
        <w:rPr>
          <w:rFonts w:cs="Times New Roman"/>
          <w:kern w:val="0"/>
          <w:szCs w:val="24"/>
          <w:u w:val="single"/>
          <w:lang w:eastAsia="en-US"/>
        </w:rPr>
        <w:t>rate of false alarms</w:t>
      </w:r>
      <w:r w:rsidRPr="00AC29E4">
        <w:rPr>
          <w:rFonts w:cs="Times New Roman"/>
          <w:kern w:val="0"/>
          <w:szCs w:val="24"/>
          <w:lang w:eastAsia="en-US"/>
        </w:rPr>
        <w:t xml:space="preserve"> from EMS technologies as follows: </w:t>
      </w:r>
    </w:p>
    <w:p w14:paraId="4327F142"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I would say they [EMS technology] were very useful when tuned appropriately and deployed appropriately. If they [EMS technology] are not deployed appropriately, then they [EMS technology] can tend to be very complex and difficult to monitor because of the false positive rate. So yeah, when deployed appropriately those tools are extremely useful to the security professional for monitoring user behavior.</w:t>
      </w:r>
    </w:p>
    <w:p w14:paraId="6E5F3815"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75"/>
        <w:ind w:right="72"/>
        <w:contextualSpacing w:val="0"/>
        <w:rPr>
          <w:rFonts w:cs="Times New Roman"/>
          <w:kern w:val="0"/>
          <w:szCs w:val="24"/>
          <w:lang w:eastAsia="en-US"/>
        </w:rPr>
      </w:pPr>
      <w:r w:rsidRPr="00AC29E4">
        <w:rPr>
          <w:rFonts w:cs="Times New Roman"/>
          <w:kern w:val="0"/>
          <w:szCs w:val="24"/>
          <w:lang w:eastAsia="en-US"/>
        </w:rPr>
        <w:t xml:space="preserve">He further elaborated on the </w:t>
      </w:r>
      <w:r w:rsidRPr="00AC29E4">
        <w:rPr>
          <w:rFonts w:cs="Times New Roman"/>
          <w:kern w:val="0"/>
          <w:szCs w:val="24"/>
          <w:u w:val="single"/>
          <w:lang w:eastAsia="en-US"/>
        </w:rPr>
        <w:t>interoperability</w:t>
      </w:r>
      <w:r w:rsidRPr="00AC29E4">
        <w:rPr>
          <w:rFonts w:cs="Times New Roman"/>
          <w:kern w:val="0"/>
          <w:szCs w:val="24"/>
          <w:lang w:eastAsia="en-US"/>
        </w:rPr>
        <w:t xml:space="preserve"> as follows: </w:t>
      </w:r>
    </w:p>
    <w:p w14:paraId="55F765EE"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lastRenderedPageBreak/>
        <w:t xml:space="preserve">Yeah, SIEM [security incidence and event management] tools it’s difficult. And the reason it’s difficult is because you have a very disparate group of log sources. So, you’re trying to collect logs from many different asset [technologies] types, along with applications and infrastructure tools and all sorts of stuff.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you're trying to basically-- or, sorry. You're trying to gather aggregate. That’s the word I was looking for. You're trying to aggregate </w:t>
      </w:r>
      <w:proofErr w:type="gramStart"/>
      <w:r w:rsidRPr="00AC29E4">
        <w:rPr>
          <w:rFonts w:cs="Times New Roman"/>
          <w:i/>
          <w:iCs/>
          <w:kern w:val="0"/>
          <w:szCs w:val="24"/>
          <w:lang w:eastAsia="en-US"/>
        </w:rPr>
        <w:t>all of</w:t>
      </w:r>
      <w:proofErr w:type="gramEnd"/>
      <w:r w:rsidRPr="00AC29E4">
        <w:rPr>
          <w:rFonts w:cs="Times New Roman"/>
          <w:i/>
          <w:iCs/>
          <w:kern w:val="0"/>
          <w:szCs w:val="24"/>
          <w:lang w:eastAsia="en-US"/>
        </w:rPr>
        <w:t xml:space="preserve"> the log sources within your whole organization into one readable format to develop alerts on it. And that is very difficult [interoperability of technology]. SIEM are probably the hardest thing to deploy well within an organization. Most everything else is kind of plug in and play. But the SIEM requires a lot of care and feeding.</w:t>
      </w:r>
    </w:p>
    <w:p w14:paraId="0F0E2F4F" w14:textId="77777777" w:rsidR="003E5B95" w:rsidRPr="00AC29E4" w:rsidRDefault="003E5B95" w:rsidP="002F5BAF">
      <w:pPr>
        <w:keepNext/>
        <w:spacing w:before="240" w:after="160"/>
        <w:contextualSpacing w:val="0"/>
        <w:rPr>
          <w:rFonts w:cs="Times New Roman"/>
          <w:kern w:val="0"/>
          <w:szCs w:val="24"/>
          <w:lang w:eastAsia="en-US"/>
        </w:rPr>
      </w:pPr>
      <w:r w:rsidRPr="00AC29E4">
        <w:rPr>
          <w:rFonts w:cs="Times New Roman"/>
          <w:kern w:val="0"/>
          <w:szCs w:val="24"/>
          <w:lang w:eastAsia="en-US"/>
        </w:rPr>
        <w:t xml:space="preserve">Additionally, our qualitative findings point to the </w:t>
      </w:r>
      <w:r w:rsidRPr="00AC29E4">
        <w:rPr>
          <w:rFonts w:cs="Times New Roman"/>
          <w:kern w:val="0"/>
          <w:szCs w:val="24"/>
          <w:u w:val="single"/>
          <w:lang w:eastAsia="en-US"/>
        </w:rPr>
        <w:t>security climate</w:t>
      </w:r>
      <w:r w:rsidRPr="00AC29E4">
        <w:rPr>
          <w:rFonts w:cs="Times New Roman"/>
          <w:kern w:val="0"/>
          <w:szCs w:val="24"/>
          <w:lang w:eastAsia="en-US"/>
        </w:rPr>
        <w:t xml:space="preserve"> of an EMS technology implementation and/or maintenance as another critical driver of the technology’s relevance to a cybersecurity professional. An organization’s security climate represents its shared values, beliefs, and assumptions concerning its security practices, often serving to promote unconscious, continuous, and habitual security behavior among employees </w:t>
      </w:r>
      <w:r w:rsidRPr="00AC29E4">
        <w:rPr>
          <w:rFonts w:cs="Times New Roman"/>
          <w:noProof/>
          <w:kern w:val="0"/>
          <w:szCs w:val="24"/>
          <w:lang w:eastAsia="en-US"/>
        </w:rPr>
        <w:t>(Chen et al., 2015)</w:t>
      </w:r>
      <w:r w:rsidRPr="00AC29E4">
        <w:rPr>
          <w:rFonts w:cs="Times New Roman"/>
          <w:kern w:val="0"/>
          <w:szCs w:val="24"/>
          <w:lang w:eastAsia="en-US"/>
        </w:rPr>
        <w:t>. However, an organization’s security climate often imposes conflicting security goals and objectives that can be a source of stress among cybersecurity professionals, as described by a cybersecurity professional employed at a public institution:</w:t>
      </w:r>
    </w:p>
    <w:p w14:paraId="2E39A6FE"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But the most frustrating part of running an EMS technology as far as I’m concerned is dealing with the bureaucracy, the politics, the internal things like HR [human resources], where they want you to turn something on, and all of a sudden users start complaining.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then they want to turn part of it back off or all of it back off. And there’s just a lot of back and forth on what they want you to do and not want to do. In my experience, it’s </w:t>
      </w:r>
      <w:proofErr w:type="gramStart"/>
      <w:r w:rsidRPr="00AC29E4">
        <w:rPr>
          <w:rFonts w:cs="Times New Roman"/>
          <w:i/>
          <w:iCs/>
          <w:kern w:val="0"/>
          <w:szCs w:val="24"/>
          <w:lang w:eastAsia="en-US"/>
        </w:rPr>
        <w:t>really not</w:t>
      </w:r>
      <w:proofErr w:type="gramEnd"/>
      <w:r w:rsidRPr="00AC29E4">
        <w:rPr>
          <w:rFonts w:cs="Times New Roman"/>
          <w:i/>
          <w:iCs/>
          <w:kern w:val="0"/>
          <w:szCs w:val="24"/>
          <w:lang w:eastAsia="en-US"/>
        </w:rPr>
        <w:t xml:space="preserve"> the technology that causes a lot of difficulty to deal with your job or makes the experience a challenge or frustrating. It's </w:t>
      </w:r>
      <w:proofErr w:type="gramStart"/>
      <w:r w:rsidRPr="00AC29E4">
        <w:rPr>
          <w:rFonts w:cs="Times New Roman"/>
          <w:i/>
          <w:iCs/>
          <w:kern w:val="0"/>
          <w:szCs w:val="24"/>
          <w:lang w:eastAsia="en-US"/>
        </w:rPr>
        <w:t>really more</w:t>
      </w:r>
      <w:proofErr w:type="gramEnd"/>
      <w:r w:rsidRPr="00AC29E4">
        <w:rPr>
          <w:rFonts w:cs="Times New Roman"/>
          <w:i/>
          <w:iCs/>
          <w:kern w:val="0"/>
          <w:szCs w:val="24"/>
          <w:lang w:eastAsia="en-US"/>
        </w:rPr>
        <w:t xml:space="preserve"> dealing with internal politics and policies and procedures that people want to put in place to stop people from going to Facebook or this or that. But then </w:t>
      </w:r>
      <w:proofErr w:type="gramStart"/>
      <w:r w:rsidRPr="00AC29E4">
        <w:rPr>
          <w:rFonts w:cs="Times New Roman"/>
          <w:i/>
          <w:iCs/>
          <w:kern w:val="0"/>
          <w:szCs w:val="24"/>
          <w:lang w:eastAsia="en-US"/>
        </w:rPr>
        <w:t>all of a sudden</w:t>
      </w:r>
      <w:proofErr w:type="gramEnd"/>
      <w:r w:rsidRPr="00AC29E4">
        <w:rPr>
          <w:rFonts w:cs="Times New Roman"/>
          <w:i/>
          <w:iCs/>
          <w:kern w:val="0"/>
          <w:szCs w:val="24"/>
          <w:lang w:eastAsia="en-US"/>
        </w:rPr>
        <w:t xml:space="preserve">, your business has a Facebook page. So now you </w:t>
      </w:r>
      <w:proofErr w:type="gramStart"/>
      <w:r w:rsidRPr="00AC29E4">
        <w:rPr>
          <w:rFonts w:cs="Times New Roman"/>
          <w:i/>
          <w:iCs/>
          <w:kern w:val="0"/>
          <w:szCs w:val="24"/>
          <w:lang w:eastAsia="en-US"/>
        </w:rPr>
        <w:t>have to</w:t>
      </w:r>
      <w:proofErr w:type="gramEnd"/>
      <w:r w:rsidRPr="00AC29E4">
        <w:rPr>
          <w:rFonts w:cs="Times New Roman"/>
          <w:i/>
          <w:iCs/>
          <w:kern w:val="0"/>
          <w:szCs w:val="24"/>
          <w:lang w:eastAsia="en-US"/>
        </w:rPr>
        <w:t xml:space="preserve"> open up your business Facebook page so that your internal people can get through it and you’ve got to go in and again get really granular and dial in certain aspects of it. It really starts to get to be kind of a challenge when the business realizes what all the technology platforms can do. And that’s where it really gets frustrating to me or got frustrating to us.</w:t>
      </w:r>
    </w:p>
    <w:p w14:paraId="74C82813" w14:textId="46AB1707" w:rsidR="003E5B95" w:rsidRPr="00AC29E4" w:rsidRDefault="003E5B95" w:rsidP="002F5BAF">
      <w:pPr>
        <w:keepNext/>
        <w:spacing w:before="240" w:after="160"/>
        <w:contextualSpacing w:val="0"/>
        <w:rPr>
          <w:rFonts w:cs="Times New Roman"/>
          <w:kern w:val="0"/>
          <w:szCs w:val="24"/>
          <w:lang w:eastAsia="en-US"/>
        </w:rPr>
      </w:pPr>
      <w:r w:rsidRPr="00AC29E4">
        <w:rPr>
          <w:rFonts w:cs="Times New Roman"/>
          <w:kern w:val="0"/>
          <w:szCs w:val="24"/>
          <w:lang w:eastAsia="en-US"/>
        </w:rPr>
        <w:t>Another cybersecurity security analyst at a government organization pointed to the</w:t>
      </w:r>
      <w:r w:rsidR="002F5BAF">
        <w:rPr>
          <w:rFonts w:cs="Times New Roman"/>
          <w:kern w:val="0"/>
          <w:szCs w:val="24"/>
          <w:lang w:eastAsia="en-US"/>
        </w:rPr>
        <w:t xml:space="preserve"> </w:t>
      </w:r>
      <w:r w:rsidRPr="00AC29E4">
        <w:rPr>
          <w:rFonts w:cs="Times New Roman"/>
          <w:kern w:val="0"/>
          <w:szCs w:val="24"/>
          <w:lang w:eastAsia="en-US"/>
        </w:rPr>
        <w:t xml:space="preserve">limitations within his organization’s </w:t>
      </w:r>
      <w:r w:rsidRPr="00AC29E4">
        <w:rPr>
          <w:rFonts w:cs="Times New Roman"/>
          <w:kern w:val="0"/>
          <w:szCs w:val="24"/>
          <w:u w:val="single"/>
          <w:lang w:eastAsia="en-US"/>
        </w:rPr>
        <w:t>security climate</w:t>
      </w:r>
      <w:r w:rsidRPr="00AC29E4">
        <w:rPr>
          <w:rFonts w:cs="Times New Roman"/>
          <w:kern w:val="0"/>
          <w:szCs w:val="24"/>
          <w:lang w:eastAsia="en-US"/>
        </w:rPr>
        <w:t>:</w:t>
      </w:r>
    </w:p>
    <w:p w14:paraId="3DB65DE2"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We look for—this current technology, we look at—we do a lot of demos, we get things that come in to see if it will benefit the organization or not. Big part of what we have is funding, </w:t>
      </w:r>
      <w:r w:rsidRPr="00AC29E4">
        <w:rPr>
          <w:rFonts w:cs="Times New Roman"/>
          <w:i/>
          <w:iCs/>
          <w:kern w:val="0"/>
          <w:szCs w:val="24"/>
          <w:lang w:eastAsia="en-US"/>
        </w:rPr>
        <w:lastRenderedPageBreak/>
        <w:t xml:space="preserve">so usually some of this stuff is—my frustration is, I will see something that I think is critical to the security of our network, and I will find a tool that we need, but yet I can't get the funding to support it. And the other one I’ll say is political. Every organization has politics in it.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there might be something out there that is a severe threat. Well, I can give you one example of that.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Flash. Adobe Flash is considered the most vulnerable piece of software out there. It is highly unsecure. The Department of Homeland Security has dictated that all government agencies should remove Flash. But because of politics, I can’t get Flash removed from the network.</w:t>
      </w:r>
    </w:p>
    <w:p w14:paraId="183C800B" w14:textId="77777777" w:rsidR="003E5B95" w:rsidRPr="00AC29E4" w:rsidRDefault="003E5B95" w:rsidP="001B4214">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iCs/>
          <w:kern w:val="0"/>
          <w:szCs w:val="24"/>
          <w:lang w:eastAsia="en-US"/>
        </w:rPr>
        <w:t xml:space="preserve">Together, both the characteristics of EMS technologies and the </w:t>
      </w:r>
      <w:r w:rsidRPr="00AC29E4">
        <w:rPr>
          <w:rFonts w:cs="Times New Roman"/>
          <w:iCs/>
          <w:kern w:val="0"/>
          <w:szCs w:val="24"/>
          <w:u w:val="single"/>
          <w:lang w:eastAsia="en-US"/>
        </w:rPr>
        <w:t>security climate</w:t>
      </w:r>
      <w:r w:rsidRPr="00AC29E4">
        <w:rPr>
          <w:rFonts w:cs="Times New Roman"/>
          <w:iCs/>
          <w:kern w:val="0"/>
          <w:szCs w:val="24"/>
          <w:lang w:eastAsia="en-US"/>
        </w:rPr>
        <w:t xml:space="preserve"> in which the technologies are implemented and/or maintained inform the extent to which a cybersecurity professional appraises the technologies as relevant. The specific characteristics of interest in this appraisal of relevance are the </w:t>
      </w:r>
      <w:r w:rsidRPr="00AC29E4">
        <w:rPr>
          <w:rFonts w:cs="Times New Roman"/>
          <w:kern w:val="0"/>
          <w:szCs w:val="24"/>
          <w:u w:val="single"/>
          <w:lang w:eastAsia="en-US"/>
        </w:rPr>
        <w:t>usefulness</w:t>
      </w:r>
      <w:r w:rsidRPr="00AC29E4">
        <w:rPr>
          <w:rFonts w:cs="Times New Roman"/>
          <w:kern w:val="0"/>
          <w:szCs w:val="24"/>
          <w:lang w:eastAsia="en-US"/>
        </w:rPr>
        <w:t xml:space="preserve">, </w:t>
      </w:r>
      <w:r w:rsidRPr="00AC29E4">
        <w:rPr>
          <w:rFonts w:cs="Times New Roman"/>
          <w:kern w:val="0"/>
          <w:szCs w:val="24"/>
          <w:u w:val="single"/>
          <w:lang w:eastAsia="en-US"/>
        </w:rPr>
        <w:t>complexity</w:t>
      </w:r>
      <w:r w:rsidRPr="00AC29E4">
        <w:rPr>
          <w:rFonts w:cs="Times New Roman"/>
          <w:kern w:val="0"/>
          <w:szCs w:val="24"/>
          <w:lang w:eastAsia="en-US"/>
        </w:rPr>
        <w:t xml:space="preserve">, and </w:t>
      </w:r>
      <w:r w:rsidRPr="00AC29E4">
        <w:rPr>
          <w:rFonts w:cs="Times New Roman"/>
          <w:kern w:val="0"/>
          <w:szCs w:val="24"/>
          <w:u w:val="single"/>
          <w:lang w:eastAsia="en-US"/>
        </w:rPr>
        <w:t>interoperability</w:t>
      </w:r>
      <w:r w:rsidRPr="00AC29E4">
        <w:rPr>
          <w:rFonts w:cs="Times New Roman"/>
          <w:kern w:val="0"/>
          <w:szCs w:val="24"/>
          <w:lang w:eastAsia="en-US"/>
        </w:rPr>
        <w:t xml:space="preserve"> of the technologies, along with their </w:t>
      </w:r>
      <w:r w:rsidRPr="00AC29E4">
        <w:rPr>
          <w:rFonts w:cs="Times New Roman"/>
          <w:kern w:val="0"/>
          <w:szCs w:val="24"/>
          <w:u w:val="single"/>
          <w:lang w:eastAsia="en-US"/>
        </w:rPr>
        <w:t>rate of false alarms</w:t>
      </w:r>
      <w:r w:rsidRPr="00AC29E4">
        <w:rPr>
          <w:rFonts w:cs="Times New Roman"/>
          <w:kern w:val="0"/>
          <w:szCs w:val="24"/>
          <w:u w:val="single"/>
          <w:vertAlign w:val="superscript"/>
          <w:lang w:eastAsia="en-US"/>
        </w:rPr>
        <w:footnoteReference w:id="9"/>
      </w:r>
      <w:r w:rsidRPr="00AC29E4">
        <w:rPr>
          <w:rFonts w:cs="Times New Roman"/>
          <w:kern w:val="0"/>
          <w:szCs w:val="24"/>
          <w:lang w:eastAsia="en-US"/>
        </w:rPr>
        <w:t>. Based on this qualitative insight, we can hypothesize the following:</w:t>
      </w:r>
    </w:p>
    <w:p w14:paraId="6408F0C6" w14:textId="4FD90ED5" w:rsidR="003E5B95" w:rsidRPr="002F5BAF" w:rsidRDefault="003E5B95" w:rsidP="003E5B95">
      <w:pPr>
        <w:ind w:left="360" w:firstLine="0"/>
        <w:rPr>
          <w:rFonts w:cs="Times New Roman"/>
          <w:b/>
          <w:bCs/>
          <w:i/>
          <w:szCs w:val="24"/>
        </w:rPr>
      </w:pPr>
      <w:r w:rsidRPr="002F5BAF">
        <w:rPr>
          <w:rFonts w:cs="Times New Roman"/>
          <w:b/>
          <w:bCs/>
          <w:i/>
          <w:szCs w:val="24"/>
        </w:rPr>
        <w:t xml:space="preserve">H1(a): An EMS technology’s characteristics of usefulness </w:t>
      </w:r>
      <w:r w:rsidR="001B4214" w:rsidRPr="002F5BAF">
        <w:rPr>
          <w:rFonts w:cs="Times New Roman"/>
          <w:b/>
          <w:bCs/>
          <w:i/>
          <w:szCs w:val="24"/>
        </w:rPr>
        <w:t xml:space="preserve">positively </w:t>
      </w:r>
      <w:r w:rsidRPr="002F5BAF">
        <w:rPr>
          <w:rFonts w:cs="Times New Roman"/>
          <w:b/>
          <w:bCs/>
          <w:i/>
          <w:szCs w:val="24"/>
        </w:rPr>
        <w:t>influence</w:t>
      </w:r>
      <w:r w:rsidR="001B4214">
        <w:rPr>
          <w:rFonts w:cs="Times New Roman"/>
          <w:b/>
          <w:bCs/>
          <w:i/>
          <w:szCs w:val="24"/>
        </w:rPr>
        <w:t>s</w:t>
      </w:r>
      <w:r w:rsidRPr="002F5BAF">
        <w:rPr>
          <w:rFonts w:cs="Times New Roman"/>
          <w:b/>
          <w:bCs/>
          <w:i/>
          <w:szCs w:val="24"/>
        </w:rPr>
        <w:t xml:space="preserve"> its relevance to cybersecurity professionals seeking to implement and/or maintain EMS technologies in the workplace. </w:t>
      </w:r>
    </w:p>
    <w:p w14:paraId="4609C069" w14:textId="6F69FB42" w:rsidR="003E5B95" w:rsidRPr="002F5BAF" w:rsidRDefault="003E5B95" w:rsidP="003E5B95">
      <w:pPr>
        <w:ind w:left="360" w:firstLine="0"/>
        <w:rPr>
          <w:rFonts w:cs="Times New Roman"/>
          <w:b/>
          <w:bCs/>
          <w:i/>
          <w:szCs w:val="24"/>
        </w:rPr>
      </w:pPr>
      <w:r w:rsidRPr="002F5BAF">
        <w:rPr>
          <w:rFonts w:cs="Times New Roman"/>
          <w:b/>
          <w:bCs/>
          <w:i/>
          <w:szCs w:val="24"/>
        </w:rPr>
        <w:t xml:space="preserve">H1(b): An EMS technology’s characteristics of complexity </w:t>
      </w:r>
      <w:r w:rsidR="001B4214" w:rsidRPr="002F5BAF">
        <w:rPr>
          <w:rFonts w:cs="Times New Roman"/>
          <w:b/>
          <w:bCs/>
          <w:i/>
          <w:szCs w:val="24"/>
        </w:rPr>
        <w:t xml:space="preserve">positively </w:t>
      </w:r>
      <w:r w:rsidRPr="002F5BAF">
        <w:rPr>
          <w:rFonts w:cs="Times New Roman"/>
          <w:b/>
          <w:bCs/>
          <w:i/>
          <w:szCs w:val="24"/>
        </w:rPr>
        <w:t xml:space="preserve">influences its relevance to cybersecurity professionals seeking to implement and/or maintain EMS technologies in the workplace. </w:t>
      </w:r>
    </w:p>
    <w:p w14:paraId="7F2745DF" w14:textId="084237F9" w:rsidR="003E5B95" w:rsidRPr="002F5BAF" w:rsidRDefault="003E5B95" w:rsidP="003E5B95">
      <w:pPr>
        <w:ind w:left="360" w:firstLine="0"/>
        <w:rPr>
          <w:rFonts w:cs="Times New Roman"/>
          <w:b/>
          <w:bCs/>
          <w:i/>
          <w:szCs w:val="24"/>
        </w:rPr>
      </w:pPr>
      <w:r w:rsidRPr="002F5BAF">
        <w:rPr>
          <w:rFonts w:cs="Times New Roman"/>
          <w:b/>
          <w:bCs/>
          <w:i/>
          <w:szCs w:val="24"/>
        </w:rPr>
        <w:t xml:space="preserve">H1(c): An EMS technology’s characteristics of interoperability </w:t>
      </w:r>
      <w:r w:rsidR="001B4214" w:rsidRPr="002F5BAF">
        <w:rPr>
          <w:rFonts w:cs="Times New Roman"/>
          <w:b/>
          <w:bCs/>
          <w:i/>
          <w:szCs w:val="24"/>
        </w:rPr>
        <w:t xml:space="preserve">positively </w:t>
      </w:r>
      <w:r w:rsidRPr="002F5BAF">
        <w:rPr>
          <w:rFonts w:cs="Times New Roman"/>
          <w:b/>
          <w:bCs/>
          <w:i/>
          <w:szCs w:val="24"/>
        </w:rPr>
        <w:t xml:space="preserve">influence its relevance to cybersecurity professionals seeking to implement and/or maintain EMS technologies in the workplace. </w:t>
      </w:r>
    </w:p>
    <w:p w14:paraId="20B07207" w14:textId="7CBCD958" w:rsidR="003E5B95" w:rsidRPr="002F5BAF" w:rsidRDefault="003E5B95" w:rsidP="003E5B95">
      <w:pPr>
        <w:ind w:left="360" w:firstLine="0"/>
        <w:rPr>
          <w:rFonts w:cs="Times New Roman"/>
          <w:b/>
          <w:bCs/>
          <w:i/>
          <w:szCs w:val="24"/>
        </w:rPr>
      </w:pPr>
      <w:r w:rsidRPr="002F5BAF">
        <w:rPr>
          <w:rFonts w:cs="Times New Roman"/>
          <w:b/>
          <w:bCs/>
          <w:i/>
          <w:szCs w:val="24"/>
        </w:rPr>
        <w:lastRenderedPageBreak/>
        <w:t xml:space="preserve">H1(d): An EMS technology’s characteristics of </w:t>
      </w:r>
      <w:r w:rsidR="00697AEF">
        <w:rPr>
          <w:rFonts w:cs="Times New Roman"/>
          <w:b/>
          <w:bCs/>
          <w:i/>
          <w:szCs w:val="24"/>
        </w:rPr>
        <w:t xml:space="preserve">the </w:t>
      </w:r>
      <w:r w:rsidRPr="002F5BAF">
        <w:rPr>
          <w:rFonts w:cs="Times New Roman"/>
          <w:b/>
          <w:bCs/>
          <w:i/>
          <w:szCs w:val="24"/>
        </w:rPr>
        <w:t xml:space="preserve">rate of false positives positively influence its relevance to cybersecurity professionals seeking to implement and/or maintain EMS technologies in the workplace. </w:t>
      </w:r>
    </w:p>
    <w:p w14:paraId="2C132D51" w14:textId="7093BB6E" w:rsidR="003E5B95" w:rsidRPr="002F5BAF" w:rsidRDefault="003E5B95" w:rsidP="003E5B95">
      <w:pPr>
        <w:ind w:left="360" w:firstLine="0"/>
        <w:rPr>
          <w:rFonts w:cs="Times New Roman"/>
          <w:b/>
          <w:bCs/>
          <w:i/>
          <w:szCs w:val="24"/>
        </w:rPr>
      </w:pPr>
      <w:r w:rsidRPr="002F5BAF">
        <w:rPr>
          <w:rFonts w:cs="Times New Roman"/>
          <w:b/>
          <w:bCs/>
          <w:i/>
          <w:szCs w:val="24"/>
        </w:rPr>
        <w:t xml:space="preserve">H1(e): An EMS technology’s characteristics of </w:t>
      </w:r>
      <w:r w:rsidR="00697AEF">
        <w:rPr>
          <w:rFonts w:cs="Times New Roman"/>
          <w:b/>
          <w:bCs/>
          <w:i/>
          <w:szCs w:val="24"/>
        </w:rPr>
        <w:t xml:space="preserve">the </w:t>
      </w:r>
      <w:r w:rsidRPr="002F5BAF">
        <w:rPr>
          <w:rFonts w:cs="Times New Roman"/>
          <w:b/>
          <w:bCs/>
          <w:i/>
          <w:szCs w:val="24"/>
        </w:rPr>
        <w:t xml:space="preserve">rate of false negatives positively influence its relevance to cybersecurity professionals seeking to implement and/or maintain EMS technologies in the workplace. </w:t>
      </w:r>
    </w:p>
    <w:p w14:paraId="76BE4DCB" w14:textId="77777777" w:rsidR="003E5B95" w:rsidRPr="002F5BAF" w:rsidRDefault="003E5B95" w:rsidP="003E5B95">
      <w:pPr>
        <w:ind w:left="360" w:firstLine="0"/>
        <w:rPr>
          <w:rFonts w:cs="Times New Roman"/>
          <w:b/>
          <w:bCs/>
          <w:i/>
          <w:szCs w:val="24"/>
        </w:rPr>
      </w:pPr>
      <w:r w:rsidRPr="002F5BAF">
        <w:rPr>
          <w:rFonts w:cs="Times New Roman"/>
          <w:b/>
          <w:bCs/>
          <w:i/>
          <w:szCs w:val="24"/>
        </w:rPr>
        <w:t xml:space="preserve">H2: The security climate in which an EMS technology is implemented and/or maintained positively influences the relevance of the technology to cybersecurity professionals who are involved with its implementation and/or maintenance. </w:t>
      </w:r>
    </w:p>
    <w:p w14:paraId="7DBB6EFC" w14:textId="77777777" w:rsidR="003E5B95" w:rsidRPr="00AC29E4"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ind w:right="72"/>
        <w:contextualSpacing w:val="0"/>
        <w:rPr>
          <w:rFonts w:cs="Times New Roman"/>
          <w:kern w:val="0"/>
          <w:szCs w:val="24"/>
          <w:lang w:eastAsia="en-US"/>
        </w:rPr>
      </w:pPr>
      <w:r w:rsidRPr="00AC29E4">
        <w:rPr>
          <w:rFonts w:cs="Times New Roman"/>
          <w:kern w:val="0"/>
          <w:szCs w:val="24"/>
          <w:lang w:eastAsia="en-US"/>
        </w:rPr>
        <w:t xml:space="preserve">We also know from the insights provided by </w:t>
      </w:r>
      <w:r>
        <w:rPr>
          <w:rFonts w:cs="Times New Roman"/>
          <w:kern w:val="0"/>
          <w:szCs w:val="24"/>
          <w:lang w:eastAsia="en-US"/>
        </w:rPr>
        <w:t xml:space="preserve">the </w:t>
      </w:r>
      <w:r w:rsidRPr="00AC29E4">
        <w:rPr>
          <w:rFonts w:cs="Times New Roman"/>
          <w:kern w:val="0"/>
          <w:szCs w:val="24"/>
          <w:lang w:eastAsia="en-US"/>
        </w:rPr>
        <w:t xml:space="preserve">transactional theory of stress that we should expect the influence of an EMS technology’s characteristics and security climate on its relevance to be moderated by the personality dispositions of the cybersecurity professionals engaged with the technology </w:t>
      </w:r>
      <w:r w:rsidRPr="00AC29E4">
        <w:rPr>
          <w:rFonts w:cs="Times New Roman"/>
          <w:noProof/>
          <w:kern w:val="0"/>
          <w:szCs w:val="24"/>
          <w:lang w:eastAsia="en-US"/>
        </w:rPr>
        <w:t>(Lazarus &amp; Folkman, 1987)</w:t>
      </w:r>
      <w:r w:rsidRPr="00AC29E4">
        <w:rPr>
          <w:rFonts w:cs="Times New Roman"/>
          <w:kern w:val="0"/>
          <w:szCs w:val="24"/>
          <w:lang w:eastAsia="en-US"/>
        </w:rPr>
        <w:t xml:space="preserve">. To that end, we hypothesize a moderating effect: </w:t>
      </w:r>
    </w:p>
    <w:p w14:paraId="1A9DBEB2" w14:textId="77777777" w:rsidR="003E5B95" w:rsidRPr="002F5BAF" w:rsidRDefault="003E5B95" w:rsidP="003E5B95">
      <w:pPr>
        <w:ind w:left="360" w:firstLine="0"/>
        <w:rPr>
          <w:rFonts w:cs="Times New Roman"/>
          <w:b/>
          <w:bCs/>
          <w:i/>
          <w:szCs w:val="24"/>
        </w:rPr>
      </w:pPr>
      <w:r w:rsidRPr="002F5BAF">
        <w:rPr>
          <w:rFonts w:cs="Times New Roman"/>
          <w:b/>
          <w:bCs/>
          <w:i/>
          <w:szCs w:val="24"/>
        </w:rPr>
        <w:t>H3a: The extent to which the characteristics of an EMS technology influence its relevance to cybersecurity professionals is moderated by the personality dispositions of the professionals.</w:t>
      </w:r>
    </w:p>
    <w:p w14:paraId="30A983F6" w14:textId="77777777" w:rsidR="003E5B95" w:rsidRPr="002F5BAF" w:rsidRDefault="003E5B95" w:rsidP="003E5B95">
      <w:pPr>
        <w:ind w:left="360" w:firstLine="0"/>
        <w:rPr>
          <w:rFonts w:cs="Times New Roman"/>
          <w:b/>
          <w:bCs/>
          <w:i/>
          <w:szCs w:val="24"/>
        </w:rPr>
      </w:pPr>
      <w:r w:rsidRPr="002F5BAF">
        <w:rPr>
          <w:rFonts w:cs="Times New Roman"/>
          <w:b/>
          <w:bCs/>
          <w:i/>
          <w:szCs w:val="24"/>
        </w:rPr>
        <w:t xml:space="preserve">H3b: The extent to which the security climate of an EMS technology implementation and/or maintenance influences the relevance of the technology to cybersecurity professionals is moderated by the personality dispositions of the professionals. </w:t>
      </w:r>
    </w:p>
    <w:p w14:paraId="72385147" w14:textId="77777777" w:rsidR="003E5B95" w:rsidRDefault="003E5B95" w:rsidP="001B4214">
      <w:pPr>
        <w:pStyle w:val="Heading2"/>
        <w:spacing w:before="240" w:after="120"/>
        <w:rPr>
          <w:lang w:eastAsia="en-US"/>
        </w:rPr>
      </w:pPr>
      <w:bookmarkStart w:id="209" w:name="_Toc74045251"/>
      <w:bookmarkStart w:id="210" w:name="_Toc74087536"/>
      <w:bookmarkStart w:id="211" w:name="_Toc74258652"/>
      <w:r w:rsidRPr="00AC29E4">
        <w:rPr>
          <w:lang w:eastAsia="en-US"/>
        </w:rPr>
        <w:t>Stage II: Classification of Stress</w:t>
      </w:r>
      <w:bookmarkEnd w:id="209"/>
      <w:bookmarkEnd w:id="210"/>
      <w:bookmarkEnd w:id="211"/>
    </w:p>
    <w:p w14:paraId="7592F39F"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After an EMS technology (demand) has been established as relevant, the process of secondary appraisal begins—which is the evaluation of a relevant demand in terms of </w:t>
      </w:r>
      <w:r w:rsidRPr="00AC29E4">
        <w:rPr>
          <w:rFonts w:cs="Times New Roman"/>
          <w:kern w:val="0"/>
          <w:szCs w:val="24"/>
          <w:lang w:eastAsia="en-US"/>
        </w:rPr>
        <w:lastRenderedPageBreak/>
        <w:t xml:space="preserve">controllability and </w:t>
      </w:r>
      <w:r>
        <w:rPr>
          <w:rFonts w:cs="Times New Roman"/>
          <w:kern w:val="0"/>
          <w:szCs w:val="24"/>
          <w:lang w:eastAsia="en-US"/>
        </w:rPr>
        <w:t xml:space="preserve">the </w:t>
      </w:r>
      <w:r w:rsidRPr="00AC29E4">
        <w:rPr>
          <w:rFonts w:cs="Times New Roman"/>
          <w:kern w:val="0"/>
          <w:szCs w:val="24"/>
          <w:lang w:eastAsia="en-US"/>
        </w:rPr>
        <w:t xml:space="preserve">resulting stress it represents to the cybersecurity professional. Our qualitative study results confirm this stage of the demand appraisal process, giving support for both the moderating role of control and the resulting challenge and/or hindrance stress relevant EMS technologies place on cybersecurity professionals. For example, a cybersecurity analyst described his feelings of challenge and hindrance as follows: </w:t>
      </w:r>
    </w:p>
    <w:p w14:paraId="21990B15"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If somebody tries a major attack on our network, which happens quite often, and you thwart it and you were able to stop it, yeah, you feel contentment and excitement and everything else. And then on the other side, if you know you got an open vulnerability that needs to get closed but there’s a roadblock to getting that closed, that’s where the stress and anxiety comes in. Hoping that some malicious hacker doesn’t find that vulnerability and expose you until you can get that roadblock taken care of, whatever that is.</w:t>
      </w:r>
    </w:p>
    <w:p w14:paraId="074AE2E6" w14:textId="77777777" w:rsidR="003E5B95" w:rsidRPr="00AC29E4" w:rsidRDefault="003E5B95" w:rsidP="001B4214">
      <w:pPr>
        <w:widowControl w:val="0"/>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kern w:val="0"/>
          <w:szCs w:val="24"/>
          <w:lang w:eastAsia="en-US"/>
        </w:rPr>
        <w:t>On the other hand, from the perspective of a chief information security officer, the feelings of challenge and hindrance stress were described in terms of securing an organization as EMS technologies are being put in place, whereas the feeling of hindrance stress is associated more with the potential for a false negative:</w:t>
      </w:r>
    </w:p>
    <w:p w14:paraId="5EEF42DB"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I would say mostly excitement at being able to achieve something that would be very difficult to achieve without these tools.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for example, in data loss prevention, being able to catch the leakage of information. There’s no way you can monitor for that. So, it’s quite exciting to have a technology when you’re a security professional and you want to protect your company. It’s a feeling of, again, excitement or feeling of satisfaction, let’s say, maybe is the best word. Satisfaction in being able to properly execute your job. Without these tools, it’s very difficult. And then, on the other side though, maybe the only other feeling would be—maybe the anxiety would be though missing something. I know many of the organizations I dealt with were always fearful. The security professionals felt like they were responsible for making sure nothing bad happened or nothing leaked out of the organization. And so, they were anxious or nervous that something would happen. And the tool might be would not catch that malicious activity. So I think it's a mixture of satisfaction and be able to more effectively do the job, combined with let’s say, anxiety of what happens if you know you don’t—the tool doesn’t work correctly or something bad happens to your company.</w:t>
      </w:r>
    </w:p>
    <w:p w14:paraId="1BE4B955" w14:textId="77777777" w:rsidR="003E5B95" w:rsidRPr="00AC29E4" w:rsidRDefault="003E5B95" w:rsidP="00771A84">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75"/>
        <w:ind w:right="72"/>
        <w:contextualSpacing w:val="0"/>
        <w:rPr>
          <w:rFonts w:cs="Times New Roman"/>
          <w:iCs/>
          <w:kern w:val="0"/>
          <w:szCs w:val="24"/>
          <w:lang w:eastAsia="en-US"/>
        </w:rPr>
      </w:pPr>
      <w:r w:rsidRPr="00AC29E4">
        <w:rPr>
          <w:rFonts w:cs="Times New Roman"/>
          <w:iCs/>
          <w:kern w:val="0"/>
          <w:szCs w:val="24"/>
          <w:lang w:eastAsia="en-US"/>
        </w:rPr>
        <w:t xml:space="preserve">Hypothesizing the influence that relevant EMS technologies have on the formation of challenge and hindrance stress, we can state the following: </w:t>
      </w:r>
    </w:p>
    <w:p w14:paraId="30A6A954" w14:textId="77777777" w:rsidR="003E5B95" w:rsidRPr="002F5BAF" w:rsidRDefault="003E5B95" w:rsidP="003E5B95">
      <w:pPr>
        <w:ind w:left="360" w:firstLine="0"/>
        <w:rPr>
          <w:rFonts w:cs="Times New Roman"/>
          <w:b/>
          <w:bCs/>
          <w:i/>
          <w:szCs w:val="24"/>
        </w:rPr>
      </w:pPr>
      <w:r w:rsidRPr="002F5BAF">
        <w:rPr>
          <w:rFonts w:cs="Times New Roman"/>
          <w:b/>
          <w:bCs/>
          <w:i/>
          <w:szCs w:val="24"/>
        </w:rPr>
        <w:lastRenderedPageBreak/>
        <w:t>H4a: Cybersecurity professionals perceive challenge stress from the implementation and maintenance of EMS technologies.</w:t>
      </w:r>
    </w:p>
    <w:p w14:paraId="04BABEE1" w14:textId="77777777" w:rsidR="003E5B95" w:rsidRPr="002F5BAF" w:rsidRDefault="003E5B95" w:rsidP="003E5B95">
      <w:pPr>
        <w:ind w:left="360" w:firstLine="0"/>
        <w:rPr>
          <w:rFonts w:cs="Times New Roman"/>
          <w:b/>
          <w:bCs/>
          <w:i/>
          <w:szCs w:val="24"/>
        </w:rPr>
      </w:pPr>
      <w:r w:rsidRPr="002F5BAF">
        <w:rPr>
          <w:rFonts w:cs="Times New Roman"/>
          <w:b/>
          <w:bCs/>
          <w:i/>
          <w:szCs w:val="24"/>
        </w:rPr>
        <w:t>H4b: Cybersecurity professionals perceive hindrance stress from the implementation and maintenance of EMS technologies.</w:t>
      </w:r>
    </w:p>
    <w:p w14:paraId="0B397C88" w14:textId="77777777" w:rsidR="003E5B95" w:rsidRPr="00AC29E4"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ind w:right="72"/>
        <w:contextualSpacing w:val="0"/>
        <w:rPr>
          <w:rFonts w:cs="Times New Roman"/>
          <w:iCs/>
          <w:kern w:val="0"/>
          <w:szCs w:val="24"/>
          <w:lang w:eastAsia="en-US"/>
        </w:rPr>
      </w:pPr>
      <w:r w:rsidRPr="00AC29E4">
        <w:rPr>
          <w:rFonts w:cs="Times New Roman"/>
          <w:iCs/>
          <w:kern w:val="0"/>
          <w:szCs w:val="24"/>
          <w:lang w:eastAsia="en-US"/>
        </w:rPr>
        <w:t>Now, accounting for the moderating influence of control over EMS technologies, we can hypothesize the following:</w:t>
      </w:r>
    </w:p>
    <w:p w14:paraId="376B2920" w14:textId="77777777" w:rsidR="003E5B95" w:rsidRPr="002F5BAF" w:rsidRDefault="003E5B95" w:rsidP="003E5B95">
      <w:pPr>
        <w:ind w:left="360" w:firstLine="0"/>
        <w:rPr>
          <w:rFonts w:cs="Times New Roman"/>
          <w:b/>
          <w:bCs/>
          <w:i/>
          <w:szCs w:val="24"/>
        </w:rPr>
      </w:pPr>
      <w:r w:rsidRPr="002F5BAF">
        <w:rPr>
          <w:rFonts w:cs="Times New Roman"/>
          <w:b/>
          <w:bCs/>
          <w:i/>
          <w:szCs w:val="24"/>
        </w:rPr>
        <w:t>H5a: The extent to which a cybersecurity professional experiences challenge stress from the implementation and/or maintenance of an EMS technology depends on the relevance of the EMS technology and level of control over it perceived by the cybersecurity professional, such that a relevant EMS technology—coupled with a high level of control over it—will result in higher levels of challenge stress than hindrance stress.</w:t>
      </w:r>
    </w:p>
    <w:p w14:paraId="2515818D" w14:textId="77777777" w:rsidR="003E5B95" w:rsidRPr="002F5BAF" w:rsidRDefault="003E5B95" w:rsidP="003E5B95">
      <w:pPr>
        <w:ind w:left="360" w:firstLine="0"/>
        <w:rPr>
          <w:rFonts w:cs="Times New Roman"/>
          <w:b/>
          <w:bCs/>
          <w:i/>
          <w:szCs w:val="24"/>
        </w:rPr>
      </w:pPr>
      <w:r w:rsidRPr="002F5BAF">
        <w:rPr>
          <w:rFonts w:cs="Times New Roman"/>
          <w:b/>
          <w:bCs/>
          <w:i/>
          <w:szCs w:val="24"/>
        </w:rPr>
        <w:t>H5b: The extent to which a cybersecurity professional experiences hindrance stress from the implementation and/or maintenance of an EMS technology depends on the relevance of the EMS technology and level of control over it perceived by the cybersecurity professional, such that a relevant EMS technology—coupled with a low level of control over it—will result in higher levels of hindrance stress than challenge stress.</w:t>
      </w:r>
    </w:p>
    <w:p w14:paraId="4517B84B" w14:textId="77777777" w:rsidR="003E5B95" w:rsidRDefault="003E5B95" w:rsidP="001B4214">
      <w:pPr>
        <w:pStyle w:val="Heading2"/>
        <w:spacing w:before="240" w:after="120"/>
        <w:rPr>
          <w:lang w:eastAsia="en-US"/>
        </w:rPr>
      </w:pPr>
      <w:bookmarkStart w:id="212" w:name="_Toc74045252"/>
      <w:bookmarkStart w:id="213" w:name="_Toc74087537"/>
      <w:bookmarkStart w:id="214" w:name="_Toc74258653"/>
      <w:r w:rsidRPr="00AC29E4">
        <w:rPr>
          <w:lang w:eastAsia="en-US"/>
        </w:rPr>
        <w:t>Stage III: Utilization of Stress</w:t>
      </w:r>
      <w:bookmarkEnd w:id="212"/>
      <w:bookmarkEnd w:id="213"/>
      <w:bookmarkEnd w:id="214"/>
    </w:p>
    <w:p w14:paraId="3A05E652"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As described in the conceptual model presented in Figure </w:t>
      </w:r>
      <w:r>
        <w:rPr>
          <w:rFonts w:cs="Times New Roman"/>
          <w:kern w:val="0"/>
          <w:szCs w:val="24"/>
          <w:lang w:eastAsia="en-US"/>
        </w:rPr>
        <w:t>3</w:t>
      </w:r>
      <w:r w:rsidRPr="00AC29E4">
        <w:rPr>
          <w:rFonts w:cs="Times New Roman"/>
          <w:kern w:val="0"/>
          <w:szCs w:val="24"/>
          <w:lang w:eastAsia="en-US"/>
        </w:rPr>
        <w:t xml:space="preserve">, cybersecurity professionals engage in either PFS and/or EFC responses to either eliminate or alleviate their feelings of hindrance stress or accentuate their feelings of challenge stress </w:t>
      </w:r>
      <w:r w:rsidRPr="00AC29E4">
        <w:rPr>
          <w:rFonts w:cs="Times New Roman"/>
          <w:noProof/>
          <w:kern w:val="0"/>
          <w:szCs w:val="24"/>
          <w:lang w:eastAsia="en-US"/>
        </w:rPr>
        <w:t>(Nelson &amp; Simmons, 2011; Simmons &amp; Nelson, 2007)</w:t>
      </w:r>
      <w:r w:rsidRPr="00AC29E4">
        <w:rPr>
          <w:rFonts w:cs="Times New Roman"/>
          <w:kern w:val="0"/>
          <w:szCs w:val="24"/>
          <w:lang w:eastAsia="en-US"/>
        </w:rPr>
        <w:t xml:space="preserve">, respectively. Our qualitative study findings provide support for these possible responses, with one cybersecurity analyst describing the experience of challenge stress and how his response has been geared toward savoring stress: </w:t>
      </w:r>
    </w:p>
    <w:p w14:paraId="0F619FCC"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lastRenderedPageBreak/>
        <w:t xml:space="preserve"> Well, that’s a good feeling, so I would just continue to I guess stay ahead of cybersecurity news, or I will just continue to do things in that area whether that maybe studying for another certification or something, just continue to stay on that track. </w:t>
      </w:r>
    </w:p>
    <w:p w14:paraId="2F3C1DF1" w14:textId="77777777" w:rsidR="003E5B95" w:rsidRPr="00AC29E4" w:rsidRDefault="003E5B95" w:rsidP="001B4214">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kern w:val="0"/>
          <w:szCs w:val="24"/>
          <w:lang w:eastAsia="en-US"/>
        </w:rPr>
        <w:t xml:space="preserve">On the other hand, the same analyst described an experience of hindrance stress more so in terms of seeking social support to dampen the stress: </w:t>
      </w:r>
    </w:p>
    <w:p w14:paraId="30556F4F"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 xml:space="preserve">The feeling of hindrance [stress], I feel like at that point then we can either, one, discuss things as a team to figure out what we can do better including management. And then from there, figure out whether it’s pulling in our engineers or working on our tools to say like, “Hey, you know we’re experiencing a lot of burnout from false positives, so could you help us tool our different rules and alerts?” Something of that effect. </w:t>
      </w:r>
      <w:proofErr w:type="gramStart"/>
      <w:r w:rsidRPr="00AC29E4">
        <w:rPr>
          <w:rFonts w:cs="Times New Roman"/>
          <w:i/>
          <w:iCs/>
          <w:kern w:val="0"/>
          <w:szCs w:val="24"/>
          <w:lang w:eastAsia="en-US"/>
        </w:rPr>
        <w:t>So</w:t>
      </w:r>
      <w:proofErr w:type="gramEnd"/>
      <w:r w:rsidRPr="00AC29E4">
        <w:rPr>
          <w:rFonts w:cs="Times New Roman"/>
          <w:i/>
          <w:iCs/>
          <w:kern w:val="0"/>
          <w:szCs w:val="24"/>
          <w:lang w:eastAsia="en-US"/>
        </w:rPr>
        <w:t xml:space="preserve"> from hindrance [stress], I feel like that's where the—in our organization, we can just go in and talk to the needed parties to kind of figure out a mediation process.</w:t>
      </w:r>
    </w:p>
    <w:p w14:paraId="589BEB7C" w14:textId="7038D032" w:rsidR="003E5B95" w:rsidRPr="00AC29E4" w:rsidRDefault="003E5B95" w:rsidP="001B4214">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120"/>
        <w:ind w:right="72"/>
        <w:contextualSpacing w:val="0"/>
        <w:rPr>
          <w:rFonts w:cs="Times New Roman"/>
          <w:kern w:val="0"/>
          <w:szCs w:val="24"/>
          <w:lang w:eastAsia="en-US"/>
        </w:rPr>
      </w:pPr>
      <w:r w:rsidRPr="00AC29E4">
        <w:rPr>
          <w:rFonts w:cs="Times New Roman"/>
          <w:kern w:val="0"/>
          <w:szCs w:val="24"/>
          <w:lang w:eastAsia="en-US"/>
        </w:rPr>
        <w:t xml:space="preserve">Another cybersecurity professional described their problem-focused </w:t>
      </w:r>
      <w:r w:rsidR="00C25BEF">
        <w:rPr>
          <w:rFonts w:cs="Times New Roman"/>
          <w:kern w:val="0"/>
          <w:szCs w:val="24"/>
          <w:lang w:eastAsia="en-US"/>
        </w:rPr>
        <w:t>savoring</w:t>
      </w:r>
      <w:r w:rsidRPr="00AC29E4">
        <w:rPr>
          <w:rFonts w:cs="Times New Roman"/>
          <w:kern w:val="0"/>
          <w:szCs w:val="24"/>
          <w:lang w:eastAsia="en-US"/>
        </w:rPr>
        <w:t xml:space="preserve"> response to challenge stress more so in terms of adapting his work and personal habits to meet the needs of the EMS technology. </w:t>
      </w:r>
    </w:p>
    <w:p w14:paraId="70A5E051"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ascii="Calibri" w:hAnsi="Calibri" w:cs="Calibri"/>
          <w:kern w:val="0"/>
          <w:sz w:val="22"/>
          <w:szCs w:val="22"/>
          <w:lang w:eastAsia="en-US"/>
        </w:rPr>
      </w:pPr>
      <w:r w:rsidRPr="00AC29E4">
        <w:rPr>
          <w:rFonts w:cs="Times New Roman"/>
          <w:i/>
          <w:iCs/>
          <w:kern w:val="0"/>
          <w:szCs w:val="24"/>
          <w:lang w:eastAsia="en-US"/>
        </w:rPr>
        <w:t>If I was stressed out over that EMS solution, I would probably do something like a work adaptation. Just kind of modify what I’m doing to fit what I can and can’t do so that the stressors-or self-adaptation. Adjusting my personal habits to fit the requirements.</w:t>
      </w:r>
      <w:r w:rsidRPr="00AC29E4">
        <w:rPr>
          <w:rFonts w:ascii="Calibri" w:hAnsi="Calibri" w:cs="Calibri"/>
          <w:kern w:val="0"/>
          <w:sz w:val="22"/>
          <w:szCs w:val="22"/>
          <w:lang w:eastAsia="en-US"/>
        </w:rPr>
        <w:t xml:space="preserve"> </w:t>
      </w:r>
    </w:p>
    <w:p w14:paraId="269B6F53" w14:textId="77777777" w:rsidR="003E5B95" w:rsidRPr="00AC29E4" w:rsidRDefault="003E5B95" w:rsidP="00771A84">
      <w:pPr>
        <w:widowControl w:val="0"/>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240" w:after="75"/>
        <w:ind w:right="72"/>
        <w:contextualSpacing w:val="0"/>
        <w:rPr>
          <w:rFonts w:ascii="Calibri" w:hAnsi="Calibri" w:cs="Calibri"/>
          <w:kern w:val="0"/>
          <w:sz w:val="22"/>
          <w:szCs w:val="22"/>
          <w:lang w:eastAsia="en-US"/>
        </w:rPr>
      </w:pPr>
      <w:r w:rsidRPr="00AC29E4">
        <w:rPr>
          <w:rFonts w:cs="Times New Roman"/>
          <w:kern w:val="0"/>
          <w:szCs w:val="24"/>
          <w:lang w:eastAsia="en-US"/>
        </w:rPr>
        <w:t xml:space="preserve">Yet another cybersecurity professional described his coping response to hindrance stress as follows:  </w:t>
      </w:r>
    </w:p>
    <w:p w14:paraId="340A8C35" w14:textId="77777777" w:rsidR="003E5B95" w:rsidRPr="00AC29E4" w:rsidRDefault="003E5B95" w:rsidP="002F5BAF">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line="240" w:lineRule="auto"/>
        <w:ind w:left="518" w:right="72" w:firstLine="0"/>
        <w:contextualSpacing w:val="0"/>
        <w:rPr>
          <w:rFonts w:cs="Times New Roman"/>
          <w:i/>
          <w:iCs/>
          <w:kern w:val="0"/>
          <w:szCs w:val="24"/>
          <w:lang w:eastAsia="en-US"/>
        </w:rPr>
      </w:pPr>
      <w:r w:rsidRPr="00AC29E4">
        <w:rPr>
          <w:rFonts w:cs="Times New Roman"/>
          <w:i/>
          <w:iCs/>
          <w:kern w:val="0"/>
          <w:szCs w:val="24"/>
          <w:lang w:eastAsia="en-US"/>
        </w:rPr>
        <w:t>I think I would just say sort of sharing [the data] with others, communicating what you’re finding, what you’re feeling, and reporting so you don’t feel that you’re the only person dealing with that [a feeling of hindrance stress], so. And you’re implementing these tools in what you're finding. You want to make sure you report it broadly enough to where you don’t feel like you’re the only person seeing this information and that you can consult with others on how to deal with information. So I think talking to other people, reporting is very, very important I mean, an example that too would be networking with other users of the tool, maybe in other organizations, and what they’re experiencing, so you can feel that you’re not alone.</w:t>
      </w:r>
    </w:p>
    <w:p w14:paraId="13B1AAEB" w14:textId="77777777" w:rsidR="003E5B95" w:rsidRPr="00AC29E4" w:rsidRDefault="003E5B95" w:rsidP="00771A84">
      <w:pPr>
        <w:spacing w:before="240" w:after="160"/>
        <w:contextualSpacing w:val="0"/>
        <w:rPr>
          <w:rFonts w:cs="Times New Roman"/>
          <w:bCs/>
          <w:kern w:val="0"/>
          <w:szCs w:val="24"/>
          <w:lang w:eastAsia="en-US"/>
        </w:rPr>
      </w:pPr>
      <w:r w:rsidRPr="00AC29E4">
        <w:rPr>
          <w:rFonts w:cs="Times New Roman"/>
          <w:bCs/>
          <w:kern w:val="0"/>
          <w:szCs w:val="24"/>
          <w:lang w:eastAsia="en-US"/>
        </w:rPr>
        <w:t>With our qualitative study results providing support for this stage of the DAM, we offer the following hypotheses:</w:t>
      </w:r>
    </w:p>
    <w:p w14:paraId="21F6AECC" w14:textId="77777777" w:rsidR="003E5B95" w:rsidRPr="00771A84" w:rsidRDefault="003E5B95" w:rsidP="003E5B95">
      <w:pPr>
        <w:ind w:left="360" w:firstLine="0"/>
        <w:rPr>
          <w:rFonts w:cs="Times New Roman"/>
          <w:b/>
          <w:bCs/>
          <w:i/>
          <w:szCs w:val="24"/>
        </w:rPr>
      </w:pPr>
      <w:r w:rsidRPr="00771A84">
        <w:rPr>
          <w:rFonts w:cs="Times New Roman"/>
          <w:b/>
          <w:bCs/>
          <w:i/>
          <w:szCs w:val="24"/>
        </w:rPr>
        <w:lastRenderedPageBreak/>
        <w:t xml:space="preserve">H6: Cybersecurity professionals experiencing challenge stress will engage in PFS responses more than EFC responses. </w:t>
      </w:r>
    </w:p>
    <w:p w14:paraId="0F9C8F25" w14:textId="77777777" w:rsidR="003E5B95" w:rsidRPr="00771A84" w:rsidRDefault="003E5B95" w:rsidP="003E5B95">
      <w:pPr>
        <w:ind w:left="360" w:firstLine="0"/>
        <w:rPr>
          <w:rFonts w:cs="Times New Roman"/>
          <w:b/>
          <w:bCs/>
          <w:i/>
          <w:szCs w:val="24"/>
        </w:rPr>
      </w:pPr>
      <w:r w:rsidRPr="00771A84">
        <w:rPr>
          <w:rFonts w:cs="Times New Roman"/>
          <w:b/>
          <w:bCs/>
          <w:i/>
          <w:szCs w:val="24"/>
        </w:rPr>
        <w:t xml:space="preserve">H7: Cybersecurity professionals experiencing hindrance stress will engage in EFC responses more than PFS responses. </w:t>
      </w:r>
    </w:p>
    <w:p w14:paraId="042C396A" w14:textId="15C2586E"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Based on the results of the framework analysis of cybersecurity professionals’ interview data and the hypotheses presented above, we can now illustrate a refined DAM, as shown in Figure </w:t>
      </w:r>
      <w:r>
        <w:rPr>
          <w:rFonts w:cs="Times New Roman"/>
          <w:kern w:val="0"/>
          <w:szCs w:val="24"/>
          <w:lang w:eastAsia="en-US"/>
        </w:rPr>
        <w:t>4</w:t>
      </w:r>
      <w:r w:rsidRPr="00AC29E4">
        <w:rPr>
          <w:rFonts w:cs="Times New Roman"/>
          <w:kern w:val="0"/>
          <w:szCs w:val="24"/>
          <w:lang w:eastAsia="en-US"/>
        </w:rPr>
        <w:t>. This refined hybrid model presents the specific characteristics of EMS technologies salient to their appraisal as relevant demands by cybersecurity professionals, a</w:t>
      </w:r>
      <w:r w:rsidR="00667CDD">
        <w:rPr>
          <w:rFonts w:cs="Times New Roman"/>
          <w:kern w:val="0"/>
          <w:szCs w:val="24"/>
          <w:lang w:eastAsia="en-US"/>
        </w:rPr>
        <w:t>nd</w:t>
      </w:r>
      <w:r w:rsidRPr="00AC29E4">
        <w:rPr>
          <w:rFonts w:cs="Times New Roman"/>
          <w:kern w:val="0"/>
          <w:szCs w:val="24"/>
          <w:lang w:eastAsia="en-US"/>
        </w:rPr>
        <w:t xml:space="preserve"> the process by which cybersecurity professionals derive and respond to the stress that the relevant EMS technologies impose on them. </w:t>
      </w:r>
    </w:p>
    <w:p w14:paraId="2FA3491D" w14:textId="77777777" w:rsidR="003E5B95" w:rsidRDefault="003E5B95" w:rsidP="003E5B95">
      <w:pPr>
        <w:pStyle w:val="Caption"/>
        <w:keepNext/>
        <w:spacing w:line="480" w:lineRule="auto"/>
        <w:rPr>
          <w:sz w:val="24"/>
          <w:szCs w:val="24"/>
        </w:rPr>
      </w:pPr>
      <w:bookmarkStart w:id="215" w:name="_Toc73955280"/>
      <w:r w:rsidRPr="007E79DD">
        <w:rPr>
          <w:sz w:val="24"/>
          <w:szCs w:val="24"/>
        </w:rPr>
        <w:t xml:space="preserve">Figure </w:t>
      </w:r>
      <w:r w:rsidRPr="007E79DD">
        <w:rPr>
          <w:sz w:val="24"/>
          <w:szCs w:val="24"/>
        </w:rPr>
        <w:fldChar w:fldCharType="begin"/>
      </w:r>
      <w:r w:rsidRPr="007E79DD">
        <w:rPr>
          <w:sz w:val="24"/>
          <w:szCs w:val="24"/>
        </w:rPr>
        <w:instrText xml:space="preserve"> SEQ Figure \* ARABIC </w:instrText>
      </w:r>
      <w:r w:rsidRPr="007E79DD">
        <w:rPr>
          <w:sz w:val="24"/>
          <w:szCs w:val="24"/>
        </w:rPr>
        <w:fldChar w:fldCharType="separate"/>
      </w:r>
      <w:r w:rsidRPr="007E79DD">
        <w:rPr>
          <w:noProof/>
          <w:sz w:val="24"/>
          <w:szCs w:val="24"/>
        </w:rPr>
        <w:t>4</w:t>
      </w:r>
      <w:r w:rsidRPr="007E79DD">
        <w:rPr>
          <w:noProof/>
          <w:sz w:val="24"/>
          <w:szCs w:val="24"/>
        </w:rPr>
        <w:fldChar w:fldCharType="end"/>
      </w:r>
      <w:r w:rsidRPr="007E79DD">
        <w:rPr>
          <w:sz w:val="24"/>
          <w:szCs w:val="24"/>
        </w:rPr>
        <w:t xml:space="preserve"> </w:t>
      </w:r>
    </w:p>
    <w:p w14:paraId="26389A74" w14:textId="77777777" w:rsidR="003E5B95" w:rsidRPr="007E79DD" w:rsidRDefault="003E5B95" w:rsidP="003E5B95">
      <w:pPr>
        <w:pStyle w:val="Caption"/>
        <w:keepNext/>
        <w:spacing w:line="480" w:lineRule="auto"/>
        <w:rPr>
          <w:b w:val="0"/>
          <w:bCs/>
          <w:i/>
          <w:iCs w:val="0"/>
          <w:sz w:val="24"/>
          <w:szCs w:val="24"/>
        </w:rPr>
      </w:pPr>
      <w:r w:rsidRPr="007E79DD">
        <w:rPr>
          <w:b w:val="0"/>
          <w:bCs/>
          <w:i/>
          <w:iCs w:val="0"/>
          <w:sz w:val="24"/>
          <w:szCs w:val="24"/>
        </w:rPr>
        <w:t>Demand Appraisal Model (DAM)</w:t>
      </w:r>
      <w:bookmarkEnd w:id="215"/>
    </w:p>
    <w:p w14:paraId="648A2177" w14:textId="77777777" w:rsidR="003E5B95" w:rsidRPr="00AC29E4" w:rsidRDefault="003E5B95" w:rsidP="003E5B95">
      <w:pPr>
        <w:spacing w:after="160"/>
        <w:ind w:firstLine="0"/>
        <w:contextualSpacing w:val="0"/>
        <w:jc w:val="center"/>
        <w:rPr>
          <w:rFonts w:cs="Times New Roman"/>
          <w:kern w:val="0"/>
          <w:szCs w:val="24"/>
          <w:lang w:eastAsia="en-US"/>
        </w:rPr>
      </w:pPr>
      <w:r w:rsidRPr="00AC29E4">
        <w:rPr>
          <w:rFonts w:cs="Times New Roman"/>
          <w:noProof/>
          <w:kern w:val="0"/>
          <w:szCs w:val="24"/>
          <w:lang w:eastAsia="en-US"/>
        </w:rPr>
        <w:drawing>
          <wp:inline distT="0" distB="0" distL="0" distR="0" wp14:anchorId="1395BCB0" wp14:editId="72745525">
            <wp:extent cx="5943600" cy="2945130"/>
            <wp:effectExtent l="0" t="0" r="0" b="762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3600" cy="2945130"/>
                    </a:xfrm>
                    <a:prstGeom prst="rect">
                      <a:avLst/>
                    </a:prstGeom>
                    <a:ln w="25400">
                      <a:noFill/>
                    </a:ln>
                  </pic:spPr>
                </pic:pic>
              </a:graphicData>
            </a:graphic>
          </wp:inline>
        </w:drawing>
      </w:r>
    </w:p>
    <w:p w14:paraId="2232BD74" w14:textId="2A800CAD" w:rsidR="003E5B95" w:rsidRPr="00AC29E4"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before="75" w:after="75"/>
        <w:ind w:right="72"/>
        <w:contextualSpacing w:val="0"/>
        <w:rPr>
          <w:rFonts w:cs="Times New Roman"/>
          <w:kern w:val="0"/>
          <w:szCs w:val="24"/>
          <w:lang w:eastAsia="en-US"/>
        </w:rPr>
      </w:pPr>
      <w:r w:rsidRPr="00AC29E4">
        <w:rPr>
          <w:rFonts w:cs="Times New Roman"/>
          <w:kern w:val="0"/>
          <w:szCs w:val="24"/>
          <w:lang w:eastAsia="en-US"/>
        </w:rPr>
        <w:t>In the next section, we test this hybrid model using survey data collected from 2</w:t>
      </w:r>
      <w:r w:rsidR="00C25BEF">
        <w:rPr>
          <w:rFonts w:cs="Times New Roman"/>
          <w:kern w:val="0"/>
          <w:szCs w:val="24"/>
          <w:lang w:eastAsia="en-US"/>
        </w:rPr>
        <w:t>67</w:t>
      </w:r>
      <w:r w:rsidRPr="00AC29E4">
        <w:rPr>
          <w:rFonts w:cs="Times New Roman"/>
          <w:kern w:val="0"/>
          <w:szCs w:val="24"/>
          <w:lang w:eastAsia="en-US"/>
        </w:rPr>
        <w:t xml:space="preserve"> cybersecurity professionals from the U.S. who are engaged in the implementation and/or </w:t>
      </w:r>
      <w:r w:rsidRPr="00AC29E4">
        <w:rPr>
          <w:rFonts w:cs="Times New Roman"/>
          <w:kern w:val="0"/>
          <w:szCs w:val="24"/>
          <w:lang w:eastAsia="en-US"/>
        </w:rPr>
        <w:lastRenderedPageBreak/>
        <w:t xml:space="preserve">maintenance of EMS technologies in their respective places of work. In developing and testing the DAM, we relied on the assumptions of hybrid models provided by Ortiz de Guinea and Webster (2017), where 1) qualitative and quantitative approaches are combined to test the cognitive, behavioral, and emotional processes over time, 2) hypotheses regarding events that trigger different patterns and behaviors are tested through a trend of events via regression and path analysis, and 3) there is </w:t>
      </w:r>
      <w:r w:rsidR="00667CDD">
        <w:rPr>
          <w:rFonts w:cs="Times New Roman"/>
          <w:kern w:val="0"/>
          <w:szCs w:val="24"/>
          <w:lang w:eastAsia="en-US"/>
        </w:rPr>
        <w:t xml:space="preserve">a </w:t>
      </w:r>
      <w:r w:rsidRPr="00AC29E4">
        <w:rPr>
          <w:rFonts w:cs="Times New Roman"/>
          <w:kern w:val="0"/>
          <w:szCs w:val="24"/>
          <w:lang w:eastAsia="en-US"/>
        </w:rPr>
        <w:t>logical explanation of why hypotheses follow a process logic.</w:t>
      </w:r>
    </w:p>
    <w:p w14:paraId="0F9AE236" w14:textId="77777777" w:rsidR="003E5B95" w:rsidRPr="004011E1" w:rsidRDefault="003E5B95" w:rsidP="003E5B95">
      <w:pPr>
        <w:pStyle w:val="Heading1"/>
        <w:rPr>
          <w:b/>
          <w:bCs/>
          <w:lang w:eastAsia="en-US"/>
        </w:rPr>
      </w:pPr>
      <w:bookmarkStart w:id="216" w:name="_Toc74087538"/>
      <w:bookmarkStart w:id="217" w:name="_Toc74258654"/>
      <w:r w:rsidRPr="004011E1">
        <w:rPr>
          <w:b/>
          <w:bCs/>
          <w:lang w:eastAsia="en-US"/>
        </w:rPr>
        <w:t>QUANTITATIVE STUDY</w:t>
      </w:r>
      <w:bookmarkEnd w:id="216"/>
      <w:bookmarkEnd w:id="217"/>
    </w:p>
    <w:p w14:paraId="43E4E7A4" w14:textId="564BF785" w:rsidR="003E5B95" w:rsidRPr="00AC29E4"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This phase of the study provides an empirical test for the hybrid research model (DAM) through a field survey of cybersecurity professionals. As a result of the qualitative study, where we aggregated the views of various cybersecurity professionals, we found that a field survey would be appropriate to empirically test the research model to determine if this model is valid across a </w:t>
      </w:r>
      <w:r w:rsidR="00667CDD">
        <w:rPr>
          <w:rFonts w:cs="Times New Roman"/>
          <w:kern w:val="0"/>
          <w:szCs w:val="24"/>
          <w:lang w:eastAsia="en-US"/>
        </w:rPr>
        <w:t>broader</w:t>
      </w:r>
      <w:r w:rsidRPr="00AC29E4">
        <w:rPr>
          <w:rFonts w:cs="Times New Roman"/>
          <w:kern w:val="0"/>
          <w:szCs w:val="24"/>
          <w:lang w:eastAsia="en-US"/>
        </w:rPr>
        <w:t xml:space="preserve"> population of cybersecurity professionals. </w:t>
      </w:r>
    </w:p>
    <w:p w14:paraId="3F9756FE" w14:textId="77777777" w:rsidR="003E5B95" w:rsidRPr="00AC29E4" w:rsidRDefault="003E5B95" w:rsidP="003E5B95">
      <w:pPr>
        <w:pStyle w:val="Heading2"/>
        <w:rPr>
          <w:lang w:eastAsia="en-US"/>
        </w:rPr>
      </w:pPr>
      <w:bookmarkStart w:id="218" w:name="_Toc74045254"/>
      <w:bookmarkStart w:id="219" w:name="_Toc74087539"/>
      <w:bookmarkStart w:id="220" w:name="_Toc74258655"/>
      <w:r w:rsidRPr="00AC29E4">
        <w:rPr>
          <w:lang w:eastAsia="en-US"/>
        </w:rPr>
        <w:t>Survey Design</w:t>
      </w:r>
      <w:bookmarkEnd w:id="218"/>
      <w:bookmarkEnd w:id="219"/>
      <w:bookmarkEnd w:id="220"/>
    </w:p>
    <w:p w14:paraId="2BF13500"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In terms of survey design, we used and adapted previously validated scales to suit the context of the current study. Each scale item was rated on a 5-point Likert-like scale from 1 = strongly disagree to 5 = strongly agree. To ensure face validity, the instrument was reviewed by two faculty members specializing in information security and stress research. Some minor changes were made after this review. </w:t>
      </w:r>
    </w:p>
    <w:p w14:paraId="5F8B1BF6" w14:textId="4BD56D2B"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As a part of the survey instrument, a list of EMS demands</w:t>
      </w:r>
      <w:r w:rsidR="00667CDD">
        <w:rPr>
          <w:rFonts w:cs="Times New Roman"/>
          <w:kern w:val="0"/>
          <w:szCs w:val="24"/>
          <w:lang w:eastAsia="en-US"/>
        </w:rPr>
        <w:t xml:space="preserve"> </w:t>
      </w:r>
      <w:r w:rsidRPr="00AC29E4">
        <w:rPr>
          <w:rFonts w:cs="Times New Roman"/>
          <w:kern w:val="0"/>
          <w:szCs w:val="24"/>
          <w:lang w:eastAsia="en-US"/>
        </w:rPr>
        <w:t>was created by consulting with cybersecurity professionals</w:t>
      </w:r>
      <w:r w:rsidR="00667CDD">
        <w:rPr>
          <w:rFonts w:cs="Times New Roman"/>
          <w:kern w:val="0"/>
          <w:szCs w:val="24"/>
          <w:lang w:eastAsia="en-US"/>
        </w:rPr>
        <w:t>. The</w:t>
      </w:r>
      <w:r w:rsidRPr="00AC29E4">
        <w:rPr>
          <w:rFonts w:cs="Times New Roman"/>
          <w:kern w:val="0"/>
          <w:szCs w:val="24"/>
          <w:lang w:eastAsia="en-US"/>
        </w:rPr>
        <w:t xml:space="preserve"> job description for what constitutes a cybersecurity professional was created using the NIST-NICE cybersecurity workforce framework. The personal dispositions of cybersecurity professionals were assessed using the big five personality traits as </w:t>
      </w:r>
      <w:r w:rsidRPr="00AC29E4">
        <w:rPr>
          <w:rFonts w:cs="Times New Roman"/>
          <w:kern w:val="0"/>
          <w:szCs w:val="24"/>
          <w:lang w:eastAsia="en-US"/>
        </w:rPr>
        <w:lastRenderedPageBreak/>
        <w:t xml:space="preserve">captured by the Big Five Inventory-Short Form (BFI-2-S) </w:t>
      </w:r>
      <w:r w:rsidRPr="00AC29E4">
        <w:rPr>
          <w:rFonts w:cs="Times New Roman"/>
          <w:noProof/>
          <w:kern w:val="0"/>
          <w:szCs w:val="24"/>
          <w:lang w:eastAsia="en-US"/>
        </w:rPr>
        <w:t>(Soto &amp; John, 2017)</w:t>
      </w:r>
      <w:r w:rsidRPr="00AC29E4">
        <w:rPr>
          <w:rFonts w:cs="Times New Roman"/>
          <w:kern w:val="0"/>
          <w:szCs w:val="24"/>
          <w:lang w:eastAsia="en-US"/>
        </w:rPr>
        <w:t xml:space="preserve">. Relevant scales of EMS technology characteristics were adapted from prior technostress, stress, and information security literature, where a four-item scale for the usefulness of technology and a three-item scale for complexity was adapted from </w:t>
      </w:r>
      <w:r w:rsidRPr="00AC29E4">
        <w:rPr>
          <w:rFonts w:cs="Times New Roman"/>
          <w:noProof/>
          <w:kern w:val="0"/>
          <w:szCs w:val="24"/>
          <w:lang w:eastAsia="en-US"/>
        </w:rPr>
        <w:t>Ayyagari et al. (2011)</w:t>
      </w:r>
      <w:r w:rsidRPr="00AC29E4">
        <w:rPr>
          <w:rFonts w:cs="Times New Roman"/>
          <w:kern w:val="0"/>
          <w:szCs w:val="24"/>
          <w:lang w:eastAsia="en-US"/>
        </w:rPr>
        <w:t>, a four-item scale for the interoperability was adapted from Zhao and Xia (2014)</w:t>
      </w:r>
      <w:r w:rsidR="00667CDD">
        <w:rPr>
          <w:rFonts w:cs="Times New Roman"/>
          <w:kern w:val="0"/>
          <w:szCs w:val="24"/>
          <w:lang w:eastAsia="en-US"/>
        </w:rPr>
        <w:t>. T</w:t>
      </w:r>
      <w:r w:rsidRPr="00AC29E4">
        <w:rPr>
          <w:rFonts w:cs="Times New Roman"/>
          <w:kern w:val="0"/>
          <w:szCs w:val="24"/>
          <w:lang w:eastAsia="en-US"/>
        </w:rPr>
        <w:t xml:space="preserve">hree-item measures of false positive and false negative rates were self-created using definitions of these constructs from prior literature for accurate content coverage </w:t>
      </w:r>
      <w:r w:rsidRPr="00AC29E4">
        <w:rPr>
          <w:rFonts w:cs="Times New Roman"/>
          <w:noProof/>
          <w:kern w:val="0"/>
          <w:szCs w:val="24"/>
          <w:lang w:eastAsia="en-US"/>
        </w:rPr>
        <w:t>(Cavanaugh et al., 2000)</w:t>
      </w:r>
      <w:r w:rsidRPr="00AC29E4">
        <w:rPr>
          <w:rFonts w:cs="Times New Roman"/>
          <w:kern w:val="0"/>
          <w:szCs w:val="24"/>
          <w:lang w:eastAsia="en-US"/>
        </w:rPr>
        <w:t xml:space="preserve">. </w:t>
      </w:r>
    </w:p>
    <w:p w14:paraId="76BC99D6" w14:textId="4D56D239"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Scales for relevance, challenge stress, hindrance stress, and control were adapted from the Stress Appraisal Measure (SAM) scale </w:t>
      </w:r>
      <w:r w:rsidRPr="00AC29E4">
        <w:rPr>
          <w:rFonts w:cs="Times New Roman"/>
          <w:noProof/>
          <w:kern w:val="0"/>
          <w:szCs w:val="24"/>
          <w:lang w:eastAsia="en-US"/>
        </w:rPr>
        <w:t>(Peacock &amp; Wong, 1990)</w:t>
      </w:r>
      <w:r w:rsidRPr="00AC29E4">
        <w:rPr>
          <w:rFonts w:cs="Times New Roman"/>
          <w:kern w:val="0"/>
          <w:szCs w:val="24"/>
          <w:lang w:eastAsia="en-US"/>
        </w:rPr>
        <w:t>,</w:t>
      </w:r>
      <w:r w:rsidR="00667CDD">
        <w:rPr>
          <w:rFonts w:cs="Times New Roman"/>
          <w:kern w:val="0"/>
          <w:szCs w:val="24"/>
          <w:lang w:eastAsia="en-US"/>
        </w:rPr>
        <w:t xml:space="preserve"> </w:t>
      </w:r>
      <w:r w:rsidRPr="00AC29E4">
        <w:rPr>
          <w:rFonts w:cs="Times New Roman"/>
          <w:kern w:val="0"/>
          <w:szCs w:val="24"/>
          <w:lang w:eastAsia="en-US"/>
        </w:rPr>
        <w:t xml:space="preserve">a reliable and valid measure for stress research. Security climate was measured using a six-item scale adapted from Chen et al. (2015). Measures of PFS were adapted from Fadel (2012) and operationalized in the form of self-adaptation, work adaptation, and technology adaptation. Measures of EFC were adapted from Liang et al. (2019) using a scale developed in the IT security context that measures types of EFC in terms of denial, distancing, wishful thinking, emotional support seeking, and psychological distance. Finally, the control variables included in the survey were age (measured as the number of years), gender, level of education, years of experience working with EMS technology, and job tenure with the current employer. The survey instrument is presented in its entirety in Appendix </w:t>
      </w:r>
      <w:r>
        <w:rPr>
          <w:rFonts w:cs="Times New Roman"/>
          <w:kern w:val="0"/>
          <w:szCs w:val="24"/>
          <w:lang w:eastAsia="en-US"/>
        </w:rPr>
        <w:t>I</w:t>
      </w:r>
      <w:r w:rsidRPr="00AC29E4">
        <w:rPr>
          <w:rFonts w:cs="Times New Roman"/>
          <w:kern w:val="0"/>
          <w:szCs w:val="24"/>
          <w:lang w:eastAsia="en-US"/>
        </w:rPr>
        <w:t xml:space="preserve">, Table </w:t>
      </w:r>
      <w:r>
        <w:rPr>
          <w:rFonts w:cs="Times New Roman"/>
          <w:kern w:val="0"/>
          <w:szCs w:val="24"/>
          <w:lang w:eastAsia="en-US"/>
        </w:rPr>
        <w:t>I</w:t>
      </w:r>
      <w:r w:rsidRPr="00AC29E4">
        <w:rPr>
          <w:rFonts w:cs="Times New Roman"/>
          <w:kern w:val="0"/>
          <w:szCs w:val="24"/>
          <w:lang w:eastAsia="en-US"/>
        </w:rPr>
        <w:t xml:space="preserve">1. </w:t>
      </w:r>
    </w:p>
    <w:p w14:paraId="3C668F0B" w14:textId="77777777" w:rsidR="003E5B95" w:rsidRPr="00AC29E4" w:rsidRDefault="003E5B95" w:rsidP="003E5B95">
      <w:pPr>
        <w:pStyle w:val="Heading2"/>
        <w:rPr>
          <w:lang w:eastAsia="en-US"/>
        </w:rPr>
      </w:pPr>
      <w:bookmarkStart w:id="221" w:name="_Toc74045255"/>
      <w:bookmarkStart w:id="222" w:name="_Toc74087540"/>
      <w:bookmarkStart w:id="223" w:name="_Toc74258656"/>
      <w:r w:rsidRPr="00AC29E4">
        <w:rPr>
          <w:lang w:eastAsia="en-US"/>
        </w:rPr>
        <w:t>Data Collection and Sample Characteristics</w:t>
      </w:r>
      <w:bookmarkEnd w:id="221"/>
      <w:bookmarkEnd w:id="222"/>
      <w:bookmarkEnd w:id="223"/>
    </w:p>
    <w:p w14:paraId="458A6CD7" w14:textId="646DC6AC"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population of interest for our study is cybersecurity professionals who implement and/or maintain EMS technologies for their respective organizations. A participant sample of this population was solicited from a marketing research firm (CINT.com). To ensure that the participants were indeed employed in cybersecurity roles and engaged in the implementation </w:t>
      </w:r>
      <w:r w:rsidRPr="00AC29E4">
        <w:rPr>
          <w:rFonts w:cs="Times New Roman"/>
          <w:kern w:val="0"/>
          <w:szCs w:val="24"/>
          <w:lang w:eastAsia="en-US"/>
        </w:rPr>
        <w:lastRenderedPageBreak/>
        <w:t xml:space="preserve">and/or maintenance of EMS technologies, we used a set of participation criteria designed to ascertain 1) the kind of work they have done in their IT careers and 2) the kind of EMS technologies they were currently responsible for in their current place of work (or if they had prior experience working with EMS technologies in a place of work). To further ascertain the nature of the participants’ cybersecurity professional status, we asked them to identify their job roles per the NICE cybersecurity workforce framework, a common lexicon that describes cybersecurity work by category, specialty area, and work roles. A total of 930 IT professionals located across the U.S. participated in the survey, of which 469 were removed because they were general IT employees with no specific EMS technology responsibilities. </w:t>
      </w:r>
    </w:p>
    <w:p w14:paraId="6A7E57C2" w14:textId="638496E4"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remaining 469 participants were presented with the survey, of which 64 participants were dismissed from the study because of the incompleteness of their responses. A total of 85 participants were dismissed from the study because of failed attention check responses, and another 22 participants were removed because of fast responses (anyone below 7 minutes to complete the survey). To negate the effect of potential outliers on the data analysis, another 26 participants were removed from the study because they were found to be multivariate outliers from the </w:t>
      </w:r>
      <w:proofErr w:type="spellStart"/>
      <w:r w:rsidRPr="00AC29E4">
        <w:rPr>
          <w:rFonts w:cs="Times New Roman"/>
          <w:kern w:val="0"/>
          <w:szCs w:val="24"/>
          <w:lang w:eastAsia="en-US"/>
        </w:rPr>
        <w:t>Mahalanobis</w:t>
      </w:r>
      <w:proofErr w:type="spellEnd"/>
      <w:r w:rsidRPr="00AC29E4">
        <w:rPr>
          <w:rFonts w:cs="Times New Roman"/>
          <w:kern w:val="0"/>
          <w:szCs w:val="24"/>
          <w:lang w:eastAsia="en-US"/>
        </w:rPr>
        <w:t xml:space="preserve"> distance </w:t>
      </w:r>
      <w:r w:rsidRPr="00AC29E4">
        <w:rPr>
          <w:rFonts w:cs="Times New Roman"/>
          <w:noProof/>
          <w:kern w:val="0"/>
          <w:szCs w:val="24"/>
          <w:lang w:eastAsia="en-US"/>
        </w:rPr>
        <w:t>(Field, 2013)</w:t>
      </w:r>
      <w:r w:rsidRPr="00AC29E4">
        <w:rPr>
          <w:rFonts w:cs="Times New Roman"/>
          <w:kern w:val="0"/>
          <w:szCs w:val="24"/>
          <w:lang w:eastAsia="en-US"/>
        </w:rPr>
        <w:t xml:space="preserve">. Finally, another five participants were removed from the study because of the extreme values of the responses relative to the EMS technology relevance outcome variable. The resulting sample for this quantitative test of the DAM comprised 267 cybersecurity professionals. Appendix </w:t>
      </w:r>
      <w:r>
        <w:rPr>
          <w:rFonts w:cs="Times New Roman"/>
          <w:kern w:val="0"/>
          <w:szCs w:val="24"/>
          <w:lang w:eastAsia="en-US"/>
        </w:rPr>
        <w:t>J</w:t>
      </w:r>
      <w:r w:rsidR="00667CDD">
        <w:rPr>
          <w:rFonts w:cs="Times New Roman"/>
          <w:kern w:val="0"/>
          <w:szCs w:val="24"/>
          <w:lang w:eastAsia="en-US"/>
        </w:rPr>
        <w:t xml:space="preserve"> (</w:t>
      </w:r>
      <w:r w:rsidRPr="00AC29E4">
        <w:rPr>
          <w:rFonts w:cs="Times New Roman"/>
          <w:kern w:val="0"/>
          <w:szCs w:val="24"/>
          <w:lang w:eastAsia="en-US"/>
        </w:rPr>
        <w:t xml:space="preserve">Table </w:t>
      </w:r>
      <w:r>
        <w:rPr>
          <w:rFonts w:cs="Times New Roman"/>
          <w:kern w:val="0"/>
          <w:szCs w:val="24"/>
          <w:lang w:eastAsia="en-US"/>
        </w:rPr>
        <w:t>J1</w:t>
      </w:r>
      <w:r w:rsidR="00667CDD">
        <w:rPr>
          <w:rFonts w:cs="Times New Roman"/>
          <w:kern w:val="0"/>
          <w:szCs w:val="24"/>
          <w:lang w:eastAsia="en-US"/>
        </w:rPr>
        <w:t xml:space="preserve">) </w:t>
      </w:r>
      <w:r w:rsidRPr="00AC29E4">
        <w:rPr>
          <w:rFonts w:cs="Times New Roman"/>
          <w:kern w:val="0"/>
          <w:szCs w:val="24"/>
          <w:lang w:eastAsia="en-US"/>
        </w:rPr>
        <w:t>provides the demographic details of this sample</w:t>
      </w:r>
      <w:r w:rsidR="002D746D">
        <w:rPr>
          <w:rFonts w:cs="Times New Roman"/>
          <w:kern w:val="0"/>
          <w:szCs w:val="24"/>
          <w:lang w:eastAsia="en-US"/>
        </w:rPr>
        <w:t>.</w:t>
      </w:r>
    </w:p>
    <w:p w14:paraId="0BF99DA6" w14:textId="0D0990D4"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A general overview of our final sample of cybersecurity professionals reveals that most of the sample</w:t>
      </w:r>
      <w:r>
        <w:rPr>
          <w:rFonts w:cs="Times New Roman"/>
          <w:kern w:val="0"/>
          <w:szCs w:val="24"/>
          <w:lang w:eastAsia="en-US"/>
        </w:rPr>
        <w:t xml:space="preserve"> was</w:t>
      </w:r>
      <w:r w:rsidRPr="00AC29E4">
        <w:rPr>
          <w:rFonts w:cs="Times New Roman"/>
          <w:kern w:val="0"/>
          <w:szCs w:val="24"/>
          <w:lang w:eastAsia="en-US"/>
        </w:rPr>
        <w:t xml:space="preserve"> white (64%), male (70%), between the ages of 29–38 years old, held a bachelor’s degree or higher</w:t>
      </w:r>
      <w:r w:rsidR="00667CDD">
        <w:rPr>
          <w:rFonts w:cs="Times New Roman"/>
          <w:kern w:val="0"/>
          <w:szCs w:val="24"/>
          <w:lang w:eastAsia="en-US"/>
        </w:rPr>
        <w:t xml:space="preserve">, </w:t>
      </w:r>
      <w:r w:rsidRPr="00AC29E4">
        <w:rPr>
          <w:rFonts w:cs="Times New Roman"/>
          <w:kern w:val="0"/>
          <w:szCs w:val="24"/>
          <w:lang w:eastAsia="en-US"/>
        </w:rPr>
        <w:t xml:space="preserve">and had EMS technology experience of 1–15 years (94.7%). Because </w:t>
      </w:r>
      <w:r w:rsidRPr="00AC29E4">
        <w:rPr>
          <w:rFonts w:cs="Times New Roman"/>
          <w:kern w:val="0"/>
          <w:szCs w:val="24"/>
          <w:lang w:eastAsia="en-US"/>
        </w:rPr>
        <w:lastRenderedPageBreak/>
        <w:t xml:space="preserve">cybersecurity professionals can have several cybersecurity job functions, they were asked to provide information on all the roles they perform in their organization. Appendix </w:t>
      </w:r>
      <w:r w:rsidR="002D746D">
        <w:rPr>
          <w:rFonts w:cs="Times New Roman"/>
          <w:kern w:val="0"/>
          <w:szCs w:val="24"/>
          <w:lang w:eastAsia="en-US"/>
        </w:rPr>
        <w:t>J</w:t>
      </w:r>
      <w:r w:rsidRPr="00AC29E4">
        <w:rPr>
          <w:rFonts w:cs="Times New Roman"/>
          <w:kern w:val="0"/>
          <w:szCs w:val="24"/>
          <w:lang w:eastAsia="en-US"/>
        </w:rPr>
        <w:t xml:space="preserve">, Table </w:t>
      </w:r>
      <w:r w:rsidR="002D746D">
        <w:rPr>
          <w:rFonts w:cs="Times New Roman"/>
          <w:kern w:val="0"/>
          <w:szCs w:val="24"/>
          <w:lang w:eastAsia="en-US"/>
        </w:rPr>
        <w:t>J2</w:t>
      </w:r>
      <w:r w:rsidRPr="00AC29E4">
        <w:rPr>
          <w:rFonts w:cs="Times New Roman"/>
          <w:kern w:val="0"/>
          <w:szCs w:val="24"/>
          <w:lang w:eastAsia="en-US"/>
        </w:rPr>
        <w:t xml:space="preserve"> provides the details about the job description of cybersecurity professionals in the present study. Briefly, in our sample, the most common job function from the NICE framework was “oversee and govern” (frequency = 129), followed by “operate and maintain” (frequency = 115), “protect and defend” (frequency = 89), “investigate” (frequency = 79), “analyze” (frequency = 77), “securely provision” (frequency = 66), and “collect and operate” (frequency = 45). </w:t>
      </w:r>
    </w:p>
    <w:p w14:paraId="02219990" w14:textId="77777777" w:rsidR="003E5B95" w:rsidRPr="00AC29E4" w:rsidRDefault="003E5B95" w:rsidP="003E5B95">
      <w:pPr>
        <w:pStyle w:val="Heading2"/>
        <w:rPr>
          <w:lang w:eastAsia="en-US"/>
        </w:rPr>
      </w:pPr>
      <w:bookmarkStart w:id="224" w:name="_Toc74045256"/>
      <w:bookmarkStart w:id="225" w:name="_Toc74087541"/>
      <w:bookmarkStart w:id="226" w:name="_Toc74258657"/>
      <w:r w:rsidRPr="00AC29E4">
        <w:rPr>
          <w:lang w:eastAsia="en-US"/>
        </w:rPr>
        <w:t>Common Method Bias (CMB)</w:t>
      </w:r>
      <w:bookmarkEnd w:id="224"/>
      <w:bookmarkEnd w:id="225"/>
      <w:bookmarkEnd w:id="226"/>
    </w:p>
    <w:p w14:paraId="5E0CDBE3" w14:textId="37BAC571"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To control for CMB, we used both procedural and statistical remedies. During our survey instrument development, we took the following procedural remedies: 1) we psychologically separated the independent variables and outcome variables in the survey, 2) the participants were offered confidentiality and anonymity of their responses, and 3) </w:t>
      </w:r>
      <w:r w:rsidR="00667CDD">
        <w:rPr>
          <w:rFonts w:cs="Times New Roman"/>
          <w:kern w:val="0"/>
          <w:szCs w:val="24"/>
          <w:lang w:eastAsia="en-US"/>
        </w:rPr>
        <w:t xml:space="preserve">we paid </w:t>
      </w:r>
      <w:r w:rsidRPr="00AC29E4">
        <w:rPr>
          <w:rFonts w:cs="Times New Roman"/>
          <w:kern w:val="0"/>
          <w:szCs w:val="24"/>
          <w:lang w:eastAsia="en-US"/>
        </w:rPr>
        <w:t xml:space="preserve">close attention to the survey items to avoid any “double-barreled” questions and ambiguous terms. We also provided definitions for unfamiliar terms </w:t>
      </w:r>
      <w:r w:rsidRPr="00AC29E4">
        <w:rPr>
          <w:rFonts w:cs="Times New Roman"/>
          <w:noProof/>
          <w:kern w:val="0"/>
          <w:szCs w:val="24"/>
          <w:lang w:eastAsia="en-US"/>
        </w:rPr>
        <w:t>(Ayyagari et al., 2011)</w:t>
      </w:r>
      <w:r w:rsidRPr="00AC29E4">
        <w:rPr>
          <w:rFonts w:cs="Times New Roman"/>
          <w:kern w:val="0"/>
          <w:szCs w:val="24"/>
          <w:lang w:eastAsia="en-US"/>
        </w:rPr>
        <w:t xml:space="preserve">. </w:t>
      </w:r>
    </w:p>
    <w:p w14:paraId="52DDA92E" w14:textId="6ADFC1DD" w:rsidR="008A5F45" w:rsidRDefault="003E5B95" w:rsidP="008A5F45">
      <w:pPr>
        <w:spacing w:after="160"/>
        <w:contextualSpacing w:val="0"/>
        <w:rPr>
          <w:rFonts w:cs="Times New Roman"/>
          <w:kern w:val="0"/>
          <w:szCs w:val="24"/>
          <w:lang w:eastAsia="en-US"/>
        </w:rPr>
      </w:pPr>
      <w:r w:rsidRPr="00AC29E4">
        <w:rPr>
          <w:rFonts w:cs="Times New Roman"/>
          <w:kern w:val="0"/>
          <w:szCs w:val="24"/>
          <w:lang w:eastAsia="en-US"/>
        </w:rPr>
        <w:t xml:space="preserve">For the statistical remedies, we used previous guidance </w:t>
      </w:r>
      <w:r w:rsidRPr="00AC29E4">
        <w:rPr>
          <w:rFonts w:cs="Times New Roman"/>
          <w:noProof/>
          <w:kern w:val="0"/>
          <w:szCs w:val="24"/>
          <w:lang w:eastAsia="en-US"/>
        </w:rPr>
        <w:t>(Podsakoff et al., 2003)</w:t>
      </w:r>
      <w:r w:rsidRPr="00AC29E4">
        <w:rPr>
          <w:rFonts w:cs="Times New Roman"/>
          <w:kern w:val="0"/>
          <w:szCs w:val="24"/>
          <w:lang w:eastAsia="en-US"/>
        </w:rPr>
        <w:t>. We performed tests for CMB using the common latent method factor, where we first tested the measurement model with a common latent method factor</w:t>
      </w:r>
      <w:r w:rsidR="002D746D">
        <w:rPr>
          <w:rFonts w:cs="Times New Roman"/>
          <w:kern w:val="0"/>
          <w:szCs w:val="24"/>
          <w:lang w:eastAsia="en-US"/>
        </w:rPr>
        <w:t xml:space="preserve"> </w:t>
      </w:r>
      <w:r w:rsidRPr="00AC29E4">
        <w:rPr>
          <w:rFonts w:cs="Times New Roman"/>
          <w:kern w:val="0"/>
          <w:szCs w:val="24"/>
          <w:lang w:eastAsia="en-US"/>
        </w:rPr>
        <w:t xml:space="preserve">and then again without a common latent method factor </w:t>
      </w:r>
      <w:r w:rsidRPr="00AC29E4">
        <w:rPr>
          <w:rFonts w:cs="Times New Roman"/>
          <w:noProof/>
          <w:kern w:val="0"/>
          <w:szCs w:val="24"/>
          <w:lang w:eastAsia="en-US"/>
        </w:rPr>
        <w:t>(Podsakoff et al., 2003)</w:t>
      </w:r>
      <w:r w:rsidRPr="00AC29E4">
        <w:rPr>
          <w:rFonts w:cs="Times New Roman"/>
          <w:kern w:val="0"/>
          <w:szCs w:val="24"/>
          <w:lang w:eastAsia="en-US"/>
        </w:rPr>
        <w:t>. If CMB is present in the data, the incorporation of a common method latent factor will significantly improve the model fit because</w:t>
      </w:r>
      <w:r w:rsidR="00667CDD">
        <w:rPr>
          <w:rFonts w:cs="Times New Roman"/>
          <w:kern w:val="0"/>
          <w:szCs w:val="24"/>
          <w:lang w:eastAsia="en-US"/>
        </w:rPr>
        <w:t xml:space="preserve">, </w:t>
      </w:r>
      <w:r w:rsidRPr="00AC29E4">
        <w:rPr>
          <w:rFonts w:cs="Times New Roman"/>
          <w:kern w:val="0"/>
          <w:szCs w:val="24"/>
          <w:lang w:eastAsia="en-US"/>
        </w:rPr>
        <w:t xml:space="preserve">in such cases, the common method factor accounts for most of the observed covariances in the variables. In comparing models, it should be noted that the chi-square test is sensitive to the sample size; therefore, a comparison of goodness-of-fit indices has been suggested </w:t>
      </w:r>
      <w:r w:rsidRPr="00AC29E4">
        <w:rPr>
          <w:rFonts w:cs="Times New Roman"/>
          <w:noProof/>
          <w:kern w:val="0"/>
          <w:szCs w:val="24"/>
          <w:lang w:eastAsia="en-US"/>
        </w:rPr>
        <w:t>(Byrne, 2016; Cheung &amp; Rensvold, 2002)</w:t>
      </w:r>
      <w:r w:rsidRPr="00AC29E4">
        <w:rPr>
          <w:rFonts w:cs="Times New Roman"/>
          <w:kern w:val="0"/>
          <w:szCs w:val="24"/>
          <w:lang w:eastAsia="en-US"/>
        </w:rPr>
        <w:t xml:space="preserve">. </w:t>
      </w:r>
    </w:p>
    <w:p w14:paraId="2E5829CB" w14:textId="4D1EC307" w:rsidR="003E5B95" w:rsidRPr="00CE6198" w:rsidRDefault="008A5F45" w:rsidP="008A5F45">
      <w:pPr>
        <w:spacing w:after="160"/>
        <w:contextualSpacing w:val="0"/>
        <w:rPr>
          <w:rFonts w:cs="Times New Roman"/>
          <w:kern w:val="0"/>
          <w:szCs w:val="24"/>
          <w:lang w:eastAsia="en-US"/>
        </w:rPr>
      </w:pPr>
      <w:r>
        <w:rPr>
          <w:rFonts w:cs="Times New Roman"/>
          <w:kern w:val="0"/>
          <w:szCs w:val="24"/>
          <w:lang w:eastAsia="en-US"/>
        </w:rPr>
        <w:lastRenderedPageBreak/>
        <w:t>T</w:t>
      </w:r>
      <w:r w:rsidR="003E5B95" w:rsidRPr="00AC29E4">
        <w:rPr>
          <w:rFonts w:cs="Times New Roman"/>
          <w:kern w:val="0"/>
          <w:szCs w:val="24"/>
          <w:lang w:eastAsia="en-US"/>
        </w:rPr>
        <w:t>he CMB does not appear to be a validity threat to the data</w:t>
      </w:r>
      <w:r w:rsidR="002D746D">
        <w:rPr>
          <w:rFonts w:cs="Times New Roman"/>
          <w:kern w:val="0"/>
          <w:szCs w:val="24"/>
          <w:lang w:eastAsia="en-US"/>
        </w:rPr>
        <w:t xml:space="preserve"> because t</w:t>
      </w:r>
      <w:r w:rsidR="003E5B95" w:rsidRPr="00AC29E4">
        <w:rPr>
          <w:rFonts w:cs="Times New Roman"/>
          <w:kern w:val="0"/>
          <w:szCs w:val="24"/>
          <w:lang w:eastAsia="en-US"/>
        </w:rPr>
        <w:t xml:space="preserve">he addition of a common latent method factor improved the model fit, </w:t>
      </w:r>
      <w:r w:rsidR="002D746D">
        <w:rPr>
          <w:rFonts w:cs="Times New Roman"/>
          <w:kern w:val="0"/>
          <w:szCs w:val="24"/>
          <w:lang w:eastAsia="en-US"/>
        </w:rPr>
        <w:t xml:space="preserve">but it </w:t>
      </w:r>
      <w:r w:rsidR="003E5B95" w:rsidRPr="00AC29E4">
        <w:rPr>
          <w:rFonts w:cs="Times New Roman"/>
          <w:kern w:val="0"/>
          <w:szCs w:val="24"/>
          <w:lang w:eastAsia="en-US"/>
        </w:rPr>
        <w:t>was nominal</w:t>
      </w:r>
      <w:r w:rsidR="00667CDD">
        <w:rPr>
          <w:rFonts w:cs="Times New Roman"/>
          <w:kern w:val="0"/>
          <w:szCs w:val="24"/>
          <w:lang w:eastAsia="en-US"/>
        </w:rPr>
        <w:t xml:space="preserve">. The </w:t>
      </w:r>
      <w:r w:rsidR="003E5B95" w:rsidRPr="00AC29E4">
        <w:rPr>
          <w:rFonts w:cs="Times New Roman"/>
          <w:kern w:val="0"/>
          <w:szCs w:val="24"/>
          <w:lang w:eastAsia="en-US"/>
        </w:rPr>
        <w:t>differences in the goodness-of-fit indices (ΔCFI and ΔTLI)</w:t>
      </w:r>
      <w:r>
        <w:rPr>
          <w:rFonts w:cs="Times New Roman"/>
          <w:kern w:val="0"/>
          <w:szCs w:val="24"/>
          <w:lang w:eastAsia="en-US"/>
        </w:rPr>
        <w:t xml:space="preserve"> </w:t>
      </w:r>
      <w:r w:rsidR="003E5B95" w:rsidRPr="00AC29E4">
        <w:rPr>
          <w:rFonts w:cs="Times New Roman"/>
          <w:kern w:val="0"/>
          <w:szCs w:val="24"/>
          <w:lang w:eastAsia="en-US"/>
        </w:rPr>
        <w:t>is 0.005, within the recommended threshold of</w:t>
      </w:r>
      <w:r w:rsidR="002D746D">
        <w:rPr>
          <w:rFonts w:cs="Times New Roman"/>
          <w:kern w:val="0"/>
          <w:szCs w:val="24"/>
          <w:lang w:eastAsia="en-US"/>
        </w:rPr>
        <w:t xml:space="preserve"> .</w:t>
      </w:r>
      <w:r w:rsidR="003E5B95" w:rsidRPr="00AC29E4">
        <w:rPr>
          <w:rFonts w:cs="Times New Roman"/>
          <w:kern w:val="0"/>
          <w:szCs w:val="24"/>
          <w:lang w:eastAsia="en-US"/>
        </w:rPr>
        <w:t xml:space="preserve">05, indicating a lack of CMB </w:t>
      </w:r>
      <w:r w:rsidR="003E5B95" w:rsidRPr="00AC29E4">
        <w:rPr>
          <w:rFonts w:cs="Times New Roman"/>
          <w:noProof/>
          <w:kern w:val="0"/>
          <w:szCs w:val="24"/>
          <w:lang w:eastAsia="en-US"/>
        </w:rPr>
        <w:t>(Cheung &amp; Rensvold, 2002)</w:t>
      </w:r>
      <w:r w:rsidR="003E5B95" w:rsidRPr="00AC29E4">
        <w:rPr>
          <w:rFonts w:cs="Times New Roman"/>
          <w:kern w:val="0"/>
          <w:szCs w:val="24"/>
          <w:lang w:eastAsia="en-US"/>
        </w:rPr>
        <w:t xml:space="preserve">. The common method latent factor explained 23.04% of the variance, which is below the recommended threshold of 25% </w:t>
      </w:r>
      <w:r w:rsidR="003E5B95" w:rsidRPr="00AC29E4">
        <w:rPr>
          <w:rFonts w:cs="Times New Roman"/>
          <w:noProof/>
          <w:kern w:val="0"/>
          <w:szCs w:val="24"/>
          <w:lang w:eastAsia="en-US"/>
        </w:rPr>
        <w:t>(Ahuja et al., 2007; Williams et al., 1989)</w:t>
      </w:r>
      <w:r w:rsidR="003E5B95" w:rsidRPr="00AC29E4">
        <w:rPr>
          <w:rFonts w:cs="Times New Roman"/>
          <w:kern w:val="0"/>
          <w:szCs w:val="24"/>
          <w:lang w:eastAsia="en-US"/>
        </w:rPr>
        <w:t xml:space="preserve">. Finally, we also tested for the Harman single factor, in which a single unrotated factor yielded 24.67% variance, which is slightly below the recommended threshold of 25% </w:t>
      </w:r>
      <w:r w:rsidR="003E5B95" w:rsidRPr="00AC29E4">
        <w:rPr>
          <w:rFonts w:cs="Times New Roman"/>
          <w:noProof/>
          <w:kern w:val="0"/>
          <w:szCs w:val="24"/>
          <w:lang w:eastAsia="en-US"/>
        </w:rPr>
        <w:t>(Ayyagari et al., 2011)</w:t>
      </w:r>
      <w:r w:rsidR="003E5B95" w:rsidRPr="00AC29E4">
        <w:rPr>
          <w:rFonts w:cs="Times New Roman"/>
          <w:kern w:val="0"/>
          <w:szCs w:val="24"/>
          <w:lang w:eastAsia="en-US"/>
        </w:rPr>
        <w:t xml:space="preserve">. </w:t>
      </w:r>
    </w:p>
    <w:p w14:paraId="7A399AD2" w14:textId="77777777" w:rsidR="003E5B95" w:rsidRPr="008A5F45" w:rsidRDefault="003E5B95" w:rsidP="003E5B95">
      <w:pPr>
        <w:pStyle w:val="Heading1"/>
        <w:rPr>
          <w:b/>
          <w:bCs/>
          <w:lang w:eastAsia="en-US"/>
        </w:rPr>
      </w:pPr>
      <w:bookmarkStart w:id="227" w:name="_Toc74087542"/>
      <w:bookmarkStart w:id="228" w:name="_Toc74258658"/>
      <w:r w:rsidRPr="008A5F45">
        <w:rPr>
          <w:b/>
          <w:bCs/>
          <w:lang w:eastAsia="en-US"/>
        </w:rPr>
        <w:t>RESULTS OF THE QUANTITATIVE STUDY</w:t>
      </w:r>
      <w:bookmarkEnd w:id="227"/>
      <w:bookmarkEnd w:id="228"/>
    </w:p>
    <w:p w14:paraId="0EF555E4" w14:textId="77777777" w:rsidR="003E5B95" w:rsidRPr="00AC29E4" w:rsidRDefault="003E5B95" w:rsidP="003E5B95">
      <w:pPr>
        <w:keepNext/>
        <w:spacing w:after="160"/>
        <w:contextualSpacing w:val="0"/>
        <w:rPr>
          <w:rFonts w:cs="Times New Roman"/>
          <w:kern w:val="0"/>
          <w:szCs w:val="24"/>
          <w:lang w:eastAsia="en-US"/>
        </w:rPr>
      </w:pPr>
      <w:r w:rsidRPr="00AC29E4">
        <w:rPr>
          <w:rFonts w:cs="Times New Roman"/>
          <w:kern w:val="0"/>
          <w:szCs w:val="24"/>
          <w:lang w:eastAsia="en-US"/>
        </w:rPr>
        <w:t xml:space="preserve">To </w:t>
      </w:r>
      <w:r>
        <w:rPr>
          <w:rFonts w:cs="Times New Roman"/>
          <w:kern w:val="0"/>
          <w:szCs w:val="24"/>
          <w:lang w:eastAsia="en-US"/>
        </w:rPr>
        <w:t>analyze</w:t>
      </w:r>
      <w:r w:rsidRPr="00AC29E4">
        <w:rPr>
          <w:rFonts w:cs="Times New Roman"/>
          <w:kern w:val="0"/>
          <w:szCs w:val="24"/>
          <w:lang w:eastAsia="en-US"/>
        </w:rPr>
        <w:t xml:space="preserve"> our survey data relative to the DAM, we used prior guidance for hybrid model testing provided by Ortiz de Guinea and Webster (2017). In such models, the outcome of one stage serves as the independent variable for the next stage, providing a </w:t>
      </w:r>
      <w:proofErr w:type="spellStart"/>
      <w:r w:rsidRPr="00AC29E4">
        <w:rPr>
          <w:rFonts w:cs="Times New Roman"/>
          <w:kern w:val="0"/>
          <w:szCs w:val="24"/>
          <w:lang w:eastAsia="en-US"/>
        </w:rPr>
        <w:t>multistaged</w:t>
      </w:r>
      <w:proofErr w:type="spellEnd"/>
      <w:r w:rsidRPr="00AC29E4">
        <w:rPr>
          <w:rFonts w:cs="Times New Roman"/>
          <w:kern w:val="0"/>
          <w:szCs w:val="24"/>
          <w:lang w:eastAsia="en-US"/>
        </w:rPr>
        <w:t xml:space="preserve"> approach to model testing. </w:t>
      </w:r>
    </w:p>
    <w:p w14:paraId="74ECB902" w14:textId="77777777" w:rsidR="003E5B95" w:rsidRDefault="003E5B95" w:rsidP="003E5B95">
      <w:pPr>
        <w:pStyle w:val="Heading2"/>
        <w:rPr>
          <w:lang w:eastAsia="en-US"/>
        </w:rPr>
      </w:pPr>
      <w:bookmarkStart w:id="229" w:name="_Toc74045258"/>
      <w:bookmarkStart w:id="230" w:name="_Toc74087543"/>
      <w:bookmarkStart w:id="231" w:name="_Toc74258659"/>
      <w:r w:rsidRPr="00AC29E4">
        <w:rPr>
          <w:lang w:eastAsia="en-US"/>
        </w:rPr>
        <w:t>Stage I: Demand Relevance Analysis and Results</w:t>
      </w:r>
      <w:bookmarkEnd w:id="229"/>
      <w:bookmarkEnd w:id="230"/>
      <w:bookmarkEnd w:id="231"/>
    </w:p>
    <w:p w14:paraId="38826FDF"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first stage of the DAM (Stage I) concerns the primary appraisal process in which EMS technologies (demands) are appraised in terms of the relevance of their characteristics to cybersecurity professionals in pursuit of their EMS technology implementation and maintenance goals. Our prior qualitative study results suggest that the EMS technology characteristics that are salient to a cybersecurity professional’s implementation and/or maintenance goals are its usefulness, interoperability, rate of false alarms (rate of false negatives and false positives), and complexity. Further, the security climate is a characteristic of the environment for EMS technology implementation and maintenance that was also identified in the qualitative study as a critical determinant in establishing the relevance of an EMS technology to cybersecurity </w:t>
      </w:r>
      <w:r w:rsidRPr="00AC29E4">
        <w:rPr>
          <w:rFonts w:cs="Times New Roman"/>
          <w:kern w:val="0"/>
          <w:szCs w:val="24"/>
          <w:lang w:eastAsia="en-US"/>
        </w:rPr>
        <w:lastRenderedPageBreak/>
        <w:t xml:space="preserve">professionals. The personal dispositions that may influence the appraisal process were operationalized in terms of the big five personality traits of agreeableness, extraversion, conscientiousness, negative emotionality, and open-mindedness </w:t>
      </w:r>
      <w:r w:rsidRPr="00AC29E4">
        <w:rPr>
          <w:rFonts w:cs="Times New Roman"/>
          <w:noProof/>
          <w:kern w:val="0"/>
          <w:szCs w:val="24"/>
          <w:lang w:eastAsia="en-US"/>
        </w:rPr>
        <w:t>(Soto &amp; John, 2017)</w:t>
      </w:r>
      <w:r w:rsidRPr="00AC29E4">
        <w:rPr>
          <w:rFonts w:cs="Times New Roman"/>
          <w:kern w:val="0"/>
          <w:szCs w:val="24"/>
          <w:lang w:eastAsia="en-US"/>
        </w:rPr>
        <w:t xml:space="preserve">. </w:t>
      </w:r>
    </w:p>
    <w:p w14:paraId="7F0A9872" w14:textId="05BC4BA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We used hierarchical linear regression to test this stage of the model (Stage 1) and its associated hypotheses: H1(a-e), H2, H3a, and H3b. This technique allowed us to establish whether the variables of interest could explain a significant amount of variance after accounting for all other variables. Through this method, we can show model comparisons, where we can see the main effects and interaction effects, and if the addition of interaction effects is significant, as suggested by a significant change in R</w:t>
      </w:r>
      <w:r w:rsidRPr="00AC29E4">
        <w:rPr>
          <w:rFonts w:cs="Times New Roman"/>
          <w:kern w:val="0"/>
          <w:szCs w:val="24"/>
          <w:vertAlign w:val="superscript"/>
          <w:lang w:eastAsia="en-US"/>
        </w:rPr>
        <w:t>2</w:t>
      </w:r>
      <w:r w:rsidRPr="00AC29E4">
        <w:rPr>
          <w:rFonts w:cs="Times New Roman"/>
          <w:kern w:val="0"/>
          <w:szCs w:val="24"/>
          <w:lang w:eastAsia="en-US"/>
        </w:rPr>
        <w:t>. The mean and standard deviations of variables</w:t>
      </w:r>
      <w:r w:rsidR="00AB13D5">
        <w:rPr>
          <w:rFonts w:cs="Times New Roman"/>
          <w:kern w:val="0"/>
          <w:szCs w:val="24"/>
          <w:lang w:eastAsia="en-US"/>
        </w:rPr>
        <w:t>, along with an overview of participants’ personality makeup</w:t>
      </w:r>
      <w:r w:rsidR="00667CDD">
        <w:rPr>
          <w:rFonts w:cs="Times New Roman"/>
          <w:kern w:val="0"/>
          <w:szCs w:val="24"/>
          <w:lang w:eastAsia="en-US"/>
        </w:rPr>
        <w:t>,</w:t>
      </w:r>
      <w:r w:rsidR="00AB13D5">
        <w:rPr>
          <w:rFonts w:cs="Times New Roman"/>
          <w:kern w:val="0"/>
          <w:szCs w:val="24"/>
          <w:lang w:eastAsia="en-US"/>
        </w:rPr>
        <w:t xml:space="preserve"> </w:t>
      </w:r>
      <w:r w:rsidR="00667CDD">
        <w:rPr>
          <w:rFonts w:cs="Times New Roman"/>
          <w:kern w:val="0"/>
          <w:szCs w:val="24"/>
          <w:lang w:eastAsia="en-US"/>
        </w:rPr>
        <w:t>are</w:t>
      </w:r>
      <w:r w:rsidRPr="00AC29E4">
        <w:rPr>
          <w:rFonts w:cs="Times New Roman"/>
          <w:kern w:val="0"/>
          <w:szCs w:val="24"/>
          <w:lang w:eastAsia="en-US"/>
        </w:rPr>
        <w:t xml:space="preserve"> included at this stage of the model are shown in </w:t>
      </w:r>
      <w:r w:rsidR="004011E1" w:rsidRPr="004011E1">
        <w:rPr>
          <w:rFonts w:cs="Times New Roman"/>
          <w:kern w:val="0"/>
          <w:szCs w:val="24"/>
          <w:lang w:eastAsia="en-US"/>
        </w:rPr>
        <w:t>Appendix K</w:t>
      </w:r>
      <w:r w:rsidR="00AB13D5">
        <w:rPr>
          <w:rFonts w:cs="Times New Roman"/>
          <w:kern w:val="0"/>
          <w:szCs w:val="24"/>
          <w:lang w:eastAsia="en-US"/>
        </w:rPr>
        <w:t xml:space="preserve"> (Table K1and K2)</w:t>
      </w:r>
      <w:r w:rsidR="004011E1" w:rsidRPr="004011E1">
        <w:rPr>
          <w:rFonts w:cs="Times New Roman"/>
          <w:kern w:val="0"/>
          <w:szCs w:val="24"/>
          <w:lang w:eastAsia="en-US"/>
        </w:rPr>
        <w:t>.</w:t>
      </w:r>
      <w:r w:rsidRPr="00AC29E4">
        <w:rPr>
          <w:rFonts w:cs="Times New Roman"/>
          <w:kern w:val="0"/>
          <w:szCs w:val="24"/>
          <w:lang w:eastAsia="en-US"/>
        </w:rPr>
        <w:t xml:space="preserve"> To reduce the potential for multicollinearity problems, all variables were mean centered before creating the interaction terms </w:t>
      </w:r>
      <w:r w:rsidRPr="00AC29E4">
        <w:rPr>
          <w:rFonts w:cs="Times New Roman"/>
          <w:noProof/>
          <w:kern w:val="0"/>
          <w:szCs w:val="24"/>
          <w:lang w:eastAsia="en-US"/>
        </w:rPr>
        <w:t>(Aiken &amp; West, 1991)</w:t>
      </w:r>
      <w:r w:rsidRPr="00AC29E4">
        <w:rPr>
          <w:rFonts w:cs="Times New Roman"/>
          <w:kern w:val="0"/>
          <w:szCs w:val="24"/>
          <w:lang w:eastAsia="en-US"/>
        </w:rPr>
        <w:t xml:space="preserve">. We also conducted a collinearity diagnostic test to assess the variance inflation factor (VIF) and tolerance (1/VIF) values. The VIF indicates whether a predictor has a significant linear relationship with another predictor. If the largest VIF is greater than 10, then there is a cause for concern </w:t>
      </w:r>
      <w:r w:rsidRPr="00AC29E4">
        <w:rPr>
          <w:rFonts w:cs="Times New Roman"/>
          <w:noProof/>
          <w:kern w:val="0"/>
          <w:szCs w:val="24"/>
          <w:lang w:eastAsia="en-US"/>
        </w:rPr>
        <w:t>(Field, 2013)</w:t>
      </w:r>
      <w:r w:rsidRPr="00AC29E4">
        <w:rPr>
          <w:rFonts w:cs="Times New Roman"/>
          <w:kern w:val="0"/>
          <w:szCs w:val="24"/>
          <w:lang w:eastAsia="en-US"/>
        </w:rPr>
        <w:t xml:space="preserve">. Similarly, a tolerance level below 0.1 indicates serious problems </w:t>
      </w:r>
      <w:r w:rsidRPr="00AC29E4">
        <w:rPr>
          <w:rFonts w:cs="Times New Roman"/>
          <w:noProof/>
          <w:kern w:val="0"/>
          <w:szCs w:val="24"/>
          <w:lang w:eastAsia="en-US"/>
        </w:rPr>
        <w:t>(Field, 2013)</w:t>
      </w:r>
      <w:r w:rsidRPr="00AC29E4">
        <w:rPr>
          <w:rFonts w:cs="Times New Roman"/>
          <w:kern w:val="0"/>
          <w:szCs w:val="24"/>
          <w:lang w:eastAsia="en-US"/>
        </w:rPr>
        <w:t xml:space="preserve">. Both values obtained from our collinearity diagnostic test suggest no significant concerns about multicollinearity problems in the data. </w:t>
      </w:r>
    </w:p>
    <w:p w14:paraId="548756D5"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first model (Model 1) in this analysis tests the effect of the control variables (age, gender, education, overall EMS experience, and tenure with the current employer) on the relevance of EMS demands (technology characteristics). This model suggests no significant effect of the control variables on the relevance of the EMS demands (see Table </w:t>
      </w:r>
      <w:r>
        <w:rPr>
          <w:rFonts w:cs="Times New Roman"/>
          <w:kern w:val="0"/>
          <w:szCs w:val="24"/>
          <w:lang w:eastAsia="en-US"/>
        </w:rPr>
        <w:t>3</w:t>
      </w:r>
      <w:r w:rsidRPr="00AC29E4">
        <w:rPr>
          <w:rFonts w:cs="Times New Roman"/>
          <w:kern w:val="0"/>
          <w:szCs w:val="24"/>
          <w:lang w:eastAsia="en-US"/>
        </w:rPr>
        <w:t xml:space="preserve">). This model is followed by model 2, which includes the control variables, main effects of EMS technology </w:t>
      </w:r>
      <w:r w:rsidRPr="00AC29E4">
        <w:rPr>
          <w:rFonts w:cs="Times New Roman"/>
          <w:kern w:val="0"/>
          <w:szCs w:val="24"/>
          <w:lang w:eastAsia="en-US"/>
        </w:rPr>
        <w:lastRenderedPageBreak/>
        <w:t>characteristics, security climate, and big five personality traits. The results of this model are used to test the main effects of EMS technology characteristics (demands) on relevance; hence, personality variables are used as a control to account for any extraneous effects that personality may have on the dependent variable. Using personality variables as the control in the model, we can isolate the main effects of EMS technology characteristics and show the EMS technology characteristics that are appraised similarly by all cybersecurity, regardless of their dispositions.</w:t>
      </w:r>
    </w:p>
    <w:p w14:paraId="671B0850" w14:textId="77777777"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The results suggest that the usefulness of EMS technology (</w:t>
      </w:r>
      <w:r w:rsidRPr="00AC29E4">
        <w:rPr>
          <w:rFonts w:cs="Times New Roman"/>
          <w:i/>
          <w:iCs/>
          <w:kern w:val="0"/>
          <w:szCs w:val="24"/>
          <w:lang w:eastAsia="en-US"/>
        </w:rPr>
        <w:t>p</w:t>
      </w:r>
      <w:r w:rsidRPr="00AC29E4">
        <w:rPr>
          <w:rFonts w:cs="Times New Roman"/>
          <w:kern w:val="0"/>
          <w:szCs w:val="24"/>
          <w:lang w:eastAsia="en-US"/>
        </w:rPr>
        <w:t xml:space="preserve"> &lt; 0.05), its interoperability (</w:t>
      </w:r>
      <w:r w:rsidRPr="00AC29E4">
        <w:rPr>
          <w:rFonts w:cs="Times New Roman"/>
          <w:i/>
          <w:iCs/>
          <w:kern w:val="0"/>
          <w:szCs w:val="24"/>
          <w:lang w:eastAsia="en-US"/>
        </w:rPr>
        <w:t xml:space="preserve">p </w:t>
      </w:r>
      <w:r w:rsidRPr="00AC29E4">
        <w:rPr>
          <w:rFonts w:cs="Times New Roman"/>
          <w:kern w:val="0"/>
          <w:szCs w:val="24"/>
          <w:lang w:eastAsia="en-US"/>
        </w:rPr>
        <w:t>&lt;.05), and the rate of false positive alarms (</w:t>
      </w:r>
      <w:r w:rsidRPr="00AC29E4">
        <w:rPr>
          <w:rFonts w:cs="Times New Roman"/>
          <w:i/>
          <w:iCs/>
          <w:kern w:val="0"/>
          <w:szCs w:val="24"/>
          <w:lang w:eastAsia="en-US"/>
        </w:rPr>
        <w:t xml:space="preserve">p </w:t>
      </w:r>
      <w:r w:rsidRPr="00AC29E4">
        <w:rPr>
          <w:rFonts w:cs="Times New Roman"/>
          <w:kern w:val="0"/>
          <w:szCs w:val="24"/>
          <w:lang w:eastAsia="en-US"/>
        </w:rPr>
        <w:t xml:space="preserve">&lt; 0.001) are the EMS technology characteristics that positively influence its relevance to cybersecurity professionals seeking to implement and/or maintain EMS technologies in the workplace. These findings provide support for hypotheses H1a, H1c, and H1d. On the other hand, we did not find support for the rate of false negatives (H1d), the complexity of EMS (H1e), and the security climate (H2). </w:t>
      </w:r>
    </w:p>
    <w:p w14:paraId="131AC439" w14:textId="6A1DEE48" w:rsidR="003E5B95" w:rsidRDefault="003E5B95" w:rsidP="003E5B95">
      <w:pPr>
        <w:spacing w:after="160"/>
        <w:contextualSpacing w:val="0"/>
        <w:rPr>
          <w:rFonts w:cs="Times New Roman"/>
          <w:kern w:val="0"/>
          <w:szCs w:val="24"/>
          <w:lang w:eastAsia="en-US"/>
        </w:rPr>
      </w:pPr>
      <w:r w:rsidRPr="00AC29E4">
        <w:rPr>
          <w:rFonts w:cs="Times New Roman"/>
          <w:kern w:val="0"/>
          <w:szCs w:val="24"/>
          <w:lang w:eastAsia="en-US"/>
        </w:rPr>
        <w:t>Model 3 includes all the variables from model 2, along with the interaction terms, which are created by multiplying EMS technology characteristics and the security climate with every personality trait. In the final model (Model 3), we tested the hypothesized moderation of the relationship between EMS technology characteristics and EMS demand relevance by the personal dispositions of the cybersecurity professional (H3a, H3b). Further, in terms of moderation, agreeableness significantly moderates the relationship between the usefulness of EMS technologies and EMS technology relevance (</w:t>
      </w:r>
      <w:r w:rsidRPr="00AC29E4">
        <w:rPr>
          <w:rFonts w:cs="Times New Roman"/>
          <w:i/>
          <w:iCs/>
          <w:kern w:val="0"/>
          <w:szCs w:val="24"/>
          <w:lang w:eastAsia="en-US"/>
        </w:rPr>
        <w:t>p</w:t>
      </w:r>
      <w:r w:rsidRPr="00AC29E4">
        <w:rPr>
          <w:rFonts w:cs="Times New Roman"/>
          <w:kern w:val="0"/>
          <w:szCs w:val="24"/>
          <w:lang w:eastAsia="en-US"/>
        </w:rPr>
        <w:t xml:space="preserve"> &lt;.05), such that cybersecurity professionals with a sense of high agreeableness find the usefulness of EMS technologies as an important antecedent of an EMS technology’s relevance (see Table </w:t>
      </w:r>
      <w:r w:rsidR="001520D2">
        <w:rPr>
          <w:rFonts w:cs="Times New Roman"/>
          <w:kern w:val="0"/>
          <w:szCs w:val="24"/>
          <w:lang w:eastAsia="en-US"/>
        </w:rPr>
        <w:t>3</w:t>
      </w:r>
      <w:r w:rsidRPr="00AC29E4">
        <w:rPr>
          <w:rFonts w:cs="Times New Roman"/>
          <w:kern w:val="0"/>
          <w:szCs w:val="24"/>
          <w:lang w:eastAsia="en-US"/>
        </w:rPr>
        <w:t>). Negative emotionality significantly moderates the relationship between an EMS technology’s false negative rates and its perceived relevance (</w:t>
      </w:r>
      <w:r w:rsidRPr="00AC29E4">
        <w:rPr>
          <w:rFonts w:cs="Times New Roman"/>
          <w:i/>
          <w:iCs/>
          <w:kern w:val="0"/>
          <w:szCs w:val="24"/>
          <w:lang w:eastAsia="en-US"/>
        </w:rPr>
        <w:t>p</w:t>
      </w:r>
      <w:r w:rsidRPr="00AC29E4">
        <w:rPr>
          <w:rFonts w:cs="Times New Roman"/>
          <w:kern w:val="0"/>
          <w:szCs w:val="24"/>
          <w:lang w:eastAsia="en-US"/>
        </w:rPr>
        <w:t xml:space="preserve"> &lt;.05), such that cybersecurity professionals who are low in negative emotionality </w:t>
      </w:r>
      <w:r w:rsidRPr="00AC29E4">
        <w:rPr>
          <w:rFonts w:cs="Times New Roman"/>
          <w:kern w:val="0"/>
          <w:szCs w:val="24"/>
          <w:lang w:eastAsia="en-US"/>
        </w:rPr>
        <w:lastRenderedPageBreak/>
        <w:t xml:space="preserve">are more concerned than those high in negative emotionality with an EMS technology’s ability to provide false negatives. </w:t>
      </w:r>
    </w:p>
    <w:p w14:paraId="04E68C69" w14:textId="0C1FC08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Our findings also suggest that the manner in which an organization’s security climate is appraised to establish relevance is influenced by the agreeableness of the cybersecurity professional doing the appraisal (</w:t>
      </w:r>
      <w:r w:rsidRPr="00AC29E4">
        <w:rPr>
          <w:rFonts w:cs="Times New Roman"/>
          <w:i/>
          <w:iCs/>
          <w:kern w:val="0"/>
          <w:szCs w:val="24"/>
          <w:lang w:eastAsia="en-US"/>
        </w:rPr>
        <w:t>p</w:t>
      </w:r>
      <w:r w:rsidRPr="00AC29E4">
        <w:rPr>
          <w:rFonts w:cs="Times New Roman"/>
          <w:kern w:val="0"/>
          <w:szCs w:val="24"/>
          <w:lang w:eastAsia="en-US"/>
        </w:rPr>
        <w:t xml:space="preserve"> =</w:t>
      </w:r>
      <w:r w:rsidR="002D746D">
        <w:rPr>
          <w:rFonts w:cs="Times New Roman"/>
          <w:kern w:val="0"/>
          <w:szCs w:val="24"/>
          <w:lang w:eastAsia="en-US"/>
        </w:rPr>
        <w:t xml:space="preserve"> .</w:t>
      </w:r>
      <w:r w:rsidRPr="00AC29E4">
        <w:rPr>
          <w:rFonts w:cs="Times New Roman"/>
          <w:kern w:val="0"/>
          <w:szCs w:val="24"/>
          <w:lang w:eastAsia="en-US"/>
        </w:rPr>
        <w:t xml:space="preserve">001), such that cybersecurity professionals high in agreeableness find the security climate to have less of an impact than their low agreeableness counterparts. The results suggest that agreeableness and negative emotionality are significant personal dispositions that have a significant moderating influence on the appraisal process, lending partial support to hypotheses H3a and H3b. The results also suggest that the rate of false negatives and </w:t>
      </w:r>
      <w:r>
        <w:rPr>
          <w:rFonts w:cs="Times New Roman"/>
          <w:kern w:val="0"/>
          <w:szCs w:val="24"/>
          <w:lang w:eastAsia="en-US"/>
        </w:rPr>
        <w:t xml:space="preserve">the </w:t>
      </w:r>
      <w:r w:rsidRPr="00AC29E4">
        <w:rPr>
          <w:rFonts w:cs="Times New Roman"/>
          <w:kern w:val="0"/>
          <w:szCs w:val="24"/>
          <w:lang w:eastAsia="en-US"/>
        </w:rPr>
        <w:t xml:space="preserve">effect of the security climate in establishing EMS demand relevance is influenced by the personality of the cybersecurity professionals doing the appraisal. However, the complexity of EMS technology neither has a main effect nor is its effect in establishing relevance influenced by the personality types, resulting in no support for H1e. </w:t>
      </w:r>
    </w:p>
    <w:p w14:paraId="1BA5597C" w14:textId="12620991" w:rsidR="003E5B95" w:rsidRPr="006B1A52"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In terms of the explained variance, the control variable model (Model 1) accounts for 1.4% explained variance in the relevance of EMS demands </w:t>
      </w:r>
      <w:r w:rsidRPr="00563F77">
        <w:rPr>
          <w:rFonts w:cs="Times New Roman"/>
          <w:kern w:val="0"/>
          <w:szCs w:val="24"/>
          <w:lang w:eastAsia="en-US"/>
        </w:rPr>
        <w:t>(Table 4).</w:t>
      </w:r>
      <w:r w:rsidRPr="00AC29E4">
        <w:rPr>
          <w:rFonts w:cs="Times New Roman"/>
          <w:kern w:val="0"/>
          <w:szCs w:val="24"/>
          <w:lang w:eastAsia="en-US"/>
        </w:rPr>
        <w:t xml:space="preserve"> In</w:t>
      </w:r>
      <w:r w:rsidRPr="00AC29E4">
        <w:rPr>
          <w:rFonts w:cs="Times New Roman"/>
          <w:color w:val="FF0000"/>
          <w:kern w:val="0"/>
          <w:szCs w:val="24"/>
          <w:lang w:eastAsia="en-US"/>
        </w:rPr>
        <w:t xml:space="preserve"> </w:t>
      </w:r>
      <w:r w:rsidRPr="00AC29E4">
        <w:rPr>
          <w:rFonts w:cs="Times New Roman"/>
          <w:kern w:val="0"/>
          <w:szCs w:val="24"/>
          <w:lang w:eastAsia="en-US"/>
        </w:rPr>
        <w:t>Model 2, where EMS technology characteristics, security climate, and big five personality variables are included, the explained variance in the relevance of EMS technology characteristics is 32%, providing an overall significant (p &lt;.001) increase (ΔR</w:t>
      </w:r>
      <w:r w:rsidRPr="00AC29E4">
        <w:rPr>
          <w:rFonts w:cs="Times New Roman"/>
          <w:kern w:val="0"/>
          <w:szCs w:val="24"/>
          <w:vertAlign w:val="superscript"/>
          <w:lang w:eastAsia="en-US"/>
        </w:rPr>
        <w:t>2</w:t>
      </w:r>
      <w:r w:rsidRPr="00AC29E4">
        <w:rPr>
          <w:rFonts w:cs="Times New Roman"/>
          <w:kern w:val="0"/>
          <w:szCs w:val="24"/>
          <w:lang w:eastAsia="en-US"/>
        </w:rPr>
        <w:t>) of 30.6% in the explained variance of the EMS demand relevance. This final model, where the moderating effects of personality variables are accounted for, explains 47.1% of the variance of EMS demand relevance, suggesting a significant increase of (ΔR</w:t>
      </w:r>
      <w:r w:rsidRPr="00AC29E4">
        <w:rPr>
          <w:rFonts w:cs="Times New Roman"/>
          <w:kern w:val="0"/>
          <w:szCs w:val="24"/>
          <w:vertAlign w:val="superscript"/>
          <w:lang w:eastAsia="en-US"/>
        </w:rPr>
        <w:t>2</w:t>
      </w:r>
      <w:r w:rsidRPr="00AC29E4">
        <w:rPr>
          <w:rFonts w:cs="Times New Roman"/>
          <w:kern w:val="0"/>
          <w:szCs w:val="24"/>
          <w:lang w:eastAsia="en-US"/>
        </w:rPr>
        <w:t>) 15.1% in relevance (</w:t>
      </w:r>
      <w:r w:rsidRPr="00AC29E4">
        <w:rPr>
          <w:rFonts w:cs="Times New Roman"/>
          <w:i/>
          <w:iCs/>
          <w:kern w:val="0"/>
          <w:szCs w:val="24"/>
          <w:lang w:eastAsia="en-US"/>
        </w:rPr>
        <w:t xml:space="preserve">p </w:t>
      </w:r>
      <w:r w:rsidRPr="00AC29E4">
        <w:rPr>
          <w:rFonts w:cs="Times New Roman"/>
          <w:kern w:val="0"/>
          <w:szCs w:val="24"/>
          <w:lang w:eastAsia="en-US"/>
        </w:rPr>
        <w:t>=.001).</w:t>
      </w:r>
    </w:p>
    <w:p w14:paraId="3166AC82" w14:textId="77777777" w:rsidR="003E5B95" w:rsidRDefault="003E5B95" w:rsidP="008A5F45">
      <w:pPr>
        <w:pStyle w:val="Caption"/>
        <w:keepNext/>
        <w:spacing w:after="120" w:line="480" w:lineRule="auto"/>
        <w:rPr>
          <w:sz w:val="24"/>
          <w:szCs w:val="24"/>
        </w:rPr>
      </w:pPr>
      <w:bookmarkStart w:id="232" w:name="_Toc74074417"/>
      <w:r w:rsidRPr="001D043B">
        <w:rPr>
          <w:sz w:val="24"/>
          <w:szCs w:val="24"/>
        </w:rPr>
        <w:lastRenderedPageBreak/>
        <w:t xml:space="preserve">Table </w:t>
      </w:r>
      <w:r>
        <w:rPr>
          <w:sz w:val="24"/>
          <w:szCs w:val="24"/>
        </w:rPr>
        <w:t>3</w:t>
      </w:r>
      <w:r w:rsidRPr="001D043B">
        <w:rPr>
          <w:sz w:val="24"/>
          <w:szCs w:val="24"/>
        </w:rPr>
        <w:t xml:space="preserve"> </w:t>
      </w:r>
    </w:p>
    <w:p w14:paraId="4AF4D57C" w14:textId="77777777" w:rsidR="003E5B95" w:rsidRPr="001D043B" w:rsidRDefault="003E5B95" w:rsidP="008A5F45">
      <w:pPr>
        <w:pStyle w:val="Caption"/>
        <w:keepNext/>
        <w:spacing w:after="120" w:line="480" w:lineRule="auto"/>
        <w:rPr>
          <w:b w:val="0"/>
          <w:bCs/>
          <w:i/>
          <w:iCs w:val="0"/>
          <w:sz w:val="24"/>
          <w:szCs w:val="24"/>
        </w:rPr>
      </w:pPr>
      <w:r w:rsidRPr="001D043B">
        <w:rPr>
          <w:b w:val="0"/>
          <w:bCs/>
          <w:i/>
          <w:iCs w:val="0"/>
          <w:sz w:val="24"/>
          <w:szCs w:val="24"/>
        </w:rPr>
        <w:t>Model Estimation</w:t>
      </w:r>
      <w:bookmarkEnd w:id="232"/>
    </w:p>
    <w:tbl>
      <w:tblPr>
        <w:tblStyle w:val="PlainTable4"/>
        <w:tblW w:w="5000" w:type="pct"/>
        <w:tblLook w:val="04A0" w:firstRow="1" w:lastRow="0" w:firstColumn="1" w:lastColumn="0" w:noHBand="0" w:noVBand="1"/>
      </w:tblPr>
      <w:tblGrid>
        <w:gridCol w:w="2197"/>
        <w:gridCol w:w="1477"/>
        <w:gridCol w:w="914"/>
        <w:gridCol w:w="1477"/>
        <w:gridCol w:w="912"/>
        <w:gridCol w:w="1477"/>
        <w:gridCol w:w="906"/>
      </w:tblGrid>
      <w:tr w:rsidR="003E5B95" w:rsidRPr="00EA6A87" w14:paraId="25A96960" w14:textId="77777777" w:rsidTr="003E5B95">
        <w:trPr>
          <w:cnfStyle w:val="100000000000" w:firstRow="1" w:lastRow="0" w:firstColumn="0" w:lastColumn="0" w:oddVBand="0" w:evenVBand="0" w:oddHBand="0"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top w:val="single" w:sz="4" w:space="0" w:color="auto"/>
              <w:bottom w:val="single" w:sz="4" w:space="0" w:color="auto"/>
            </w:tcBorders>
          </w:tcPr>
          <w:p w14:paraId="2DAEE338" w14:textId="77777777" w:rsidR="003E5B95" w:rsidRPr="008A5F45" w:rsidRDefault="003E5B95" w:rsidP="003E5B95">
            <w:pPr>
              <w:keepNext/>
              <w:spacing w:line="240" w:lineRule="auto"/>
              <w:ind w:firstLine="0"/>
              <w:contextualSpacing w:val="0"/>
              <w:jc w:val="center"/>
              <w:rPr>
                <w:rFonts w:eastAsia="Times New Roman" w:cs="Times New Roman"/>
                <w:b w:val="0"/>
                <w:bCs w:val="0"/>
                <w:kern w:val="0"/>
                <w:sz w:val="20"/>
                <w:lang w:eastAsia="en-US"/>
              </w:rPr>
            </w:pPr>
          </w:p>
        </w:tc>
        <w:tc>
          <w:tcPr>
            <w:tcW w:w="1277" w:type="pct"/>
            <w:gridSpan w:val="2"/>
            <w:tcBorders>
              <w:top w:val="single" w:sz="4" w:space="0" w:color="auto"/>
              <w:bottom w:val="single" w:sz="4" w:space="0" w:color="auto"/>
            </w:tcBorders>
          </w:tcPr>
          <w:p w14:paraId="294FA7C6" w14:textId="77777777" w:rsidR="003E5B95" w:rsidRPr="008A5F45" w:rsidRDefault="003E5B95" w:rsidP="003E5B9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0"/>
                <w:lang w:eastAsia="en-US"/>
              </w:rPr>
            </w:pPr>
            <w:r w:rsidRPr="008A5F45">
              <w:rPr>
                <w:rFonts w:eastAsia="Times New Roman" w:cs="Times New Roman"/>
                <w:b w:val="0"/>
                <w:bCs w:val="0"/>
                <w:kern w:val="0"/>
                <w:sz w:val="20"/>
                <w:lang w:eastAsia="en-US"/>
              </w:rPr>
              <w:t>Model 1</w:t>
            </w:r>
          </w:p>
        </w:tc>
        <w:tc>
          <w:tcPr>
            <w:tcW w:w="1276" w:type="pct"/>
            <w:gridSpan w:val="2"/>
            <w:tcBorders>
              <w:top w:val="single" w:sz="4" w:space="0" w:color="auto"/>
              <w:bottom w:val="single" w:sz="4" w:space="0" w:color="auto"/>
            </w:tcBorders>
          </w:tcPr>
          <w:p w14:paraId="6FE414E5" w14:textId="77777777" w:rsidR="003E5B95" w:rsidRPr="008A5F45" w:rsidRDefault="003E5B95" w:rsidP="003E5B9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0"/>
                <w:lang w:eastAsia="en-US"/>
              </w:rPr>
            </w:pPr>
            <w:r w:rsidRPr="008A5F45">
              <w:rPr>
                <w:rFonts w:eastAsia="Times New Roman" w:cs="Times New Roman"/>
                <w:b w:val="0"/>
                <w:bCs w:val="0"/>
                <w:kern w:val="0"/>
                <w:sz w:val="20"/>
                <w:lang w:eastAsia="en-US"/>
              </w:rPr>
              <w:t>Model 2</w:t>
            </w:r>
          </w:p>
        </w:tc>
        <w:tc>
          <w:tcPr>
            <w:tcW w:w="1273" w:type="pct"/>
            <w:gridSpan w:val="2"/>
            <w:tcBorders>
              <w:top w:val="single" w:sz="4" w:space="0" w:color="auto"/>
              <w:bottom w:val="single" w:sz="4" w:space="0" w:color="auto"/>
            </w:tcBorders>
          </w:tcPr>
          <w:p w14:paraId="1C02775A" w14:textId="77777777" w:rsidR="003E5B95" w:rsidRPr="008A5F45" w:rsidRDefault="003E5B95" w:rsidP="003E5B9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0"/>
                <w:lang w:eastAsia="en-US"/>
              </w:rPr>
            </w:pPr>
            <w:r w:rsidRPr="008A5F45">
              <w:rPr>
                <w:rFonts w:eastAsia="Times New Roman" w:cs="Times New Roman"/>
                <w:b w:val="0"/>
                <w:bCs w:val="0"/>
                <w:kern w:val="0"/>
                <w:sz w:val="20"/>
                <w:lang w:eastAsia="en-US"/>
              </w:rPr>
              <w:t>Model 3</w:t>
            </w:r>
          </w:p>
        </w:tc>
      </w:tr>
      <w:tr w:rsidR="003E5B95" w:rsidRPr="00EA6A87" w14:paraId="2CA1DA3A"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top w:val="single" w:sz="4" w:space="0" w:color="auto"/>
              <w:bottom w:val="single" w:sz="4" w:space="0" w:color="auto"/>
              <w:right w:val="single" w:sz="4" w:space="0" w:color="auto"/>
            </w:tcBorders>
            <w:hideMark/>
          </w:tcPr>
          <w:p w14:paraId="6F3C4BC2" w14:textId="77777777" w:rsidR="003E5B95" w:rsidRPr="008A5F45" w:rsidRDefault="003E5B95" w:rsidP="003E5B95">
            <w:pPr>
              <w:keepNext/>
              <w:spacing w:line="240" w:lineRule="auto"/>
              <w:ind w:firstLine="0"/>
              <w:contextualSpacing w:val="0"/>
              <w:jc w:val="center"/>
              <w:rPr>
                <w:rFonts w:eastAsia="Times New Roman" w:cs="Times New Roman"/>
                <w:b w:val="0"/>
                <w:bCs w:val="0"/>
                <w:kern w:val="0"/>
                <w:sz w:val="20"/>
                <w:lang w:eastAsia="en-US"/>
              </w:rPr>
            </w:pPr>
            <w:r w:rsidRPr="008A5F45">
              <w:rPr>
                <w:rFonts w:eastAsia="Times New Roman" w:cs="Times New Roman"/>
                <w:b w:val="0"/>
                <w:bCs w:val="0"/>
                <w:kern w:val="0"/>
                <w:sz w:val="20"/>
                <w:lang w:eastAsia="en-US"/>
              </w:rPr>
              <w:t>Variables</w:t>
            </w:r>
          </w:p>
        </w:tc>
        <w:tc>
          <w:tcPr>
            <w:tcW w:w="789" w:type="pct"/>
            <w:tcBorders>
              <w:top w:val="single" w:sz="4" w:space="0" w:color="auto"/>
              <w:left w:val="single" w:sz="4" w:space="0" w:color="auto"/>
              <w:bottom w:val="single" w:sz="4" w:space="0" w:color="auto"/>
            </w:tcBorders>
            <w:hideMark/>
          </w:tcPr>
          <w:p w14:paraId="7733410B"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0"/>
                <w:lang w:eastAsia="en-US"/>
              </w:rPr>
            </w:pPr>
            <w:r w:rsidRPr="008A5F45">
              <w:rPr>
                <w:rFonts w:eastAsia="Times New Roman" w:cs="Times New Roman"/>
                <w:kern w:val="0"/>
                <w:sz w:val="20"/>
                <w:lang w:eastAsia="en-US"/>
              </w:rPr>
              <w:t xml:space="preserve">Standardized </w:t>
            </w:r>
            <w:r w:rsidRPr="008A5F45">
              <w:rPr>
                <w:rFonts w:eastAsia="Times New Roman" w:cs="Times New Roman"/>
                <w:i/>
                <w:iCs/>
                <w:kern w:val="0"/>
                <w:sz w:val="20"/>
                <w:lang w:eastAsia="en-US"/>
              </w:rPr>
              <w:t>β</w:t>
            </w:r>
          </w:p>
        </w:tc>
        <w:tc>
          <w:tcPr>
            <w:tcW w:w="488" w:type="pct"/>
            <w:tcBorders>
              <w:top w:val="single" w:sz="4" w:space="0" w:color="auto"/>
              <w:bottom w:val="single" w:sz="4" w:space="0" w:color="auto"/>
            </w:tcBorders>
            <w:hideMark/>
          </w:tcPr>
          <w:p w14:paraId="04532EAC"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0"/>
                <w:lang w:eastAsia="en-US"/>
              </w:rPr>
            </w:pPr>
            <w:r w:rsidRPr="008A5F45">
              <w:rPr>
                <w:rFonts w:eastAsia="Times New Roman" w:cs="Times New Roman"/>
                <w:i/>
                <w:iCs/>
                <w:kern w:val="0"/>
                <w:sz w:val="20"/>
                <w:lang w:eastAsia="en-US"/>
              </w:rPr>
              <w:t>p-</w:t>
            </w:r>
            <w:r w:rsidRPr="008A5F45">
              <w:rPr>
                <w:rFonts w:eastAsia="Times New Roman" w:cs="Times New Roman"/>
                <w:kern w:val="0"/>
                <w:sz w:val="20"/>
                <w:lang w:eastAsia="en-US"/>
              </w:rPr>
              <w:t>value</w:t>
            </w:r>
          </w:p>
        </w:tc>
        <w:tc>
          <w:tcPr>
            <w:tcW w:w="789" w:type="pct"/>
            <w:tcBorders>
              <w:top w:val="single" w:sz="4" w:space="0" w:color="auto"/>
              <w:bottom w:val="single" w:sz="4" w:space="0" w:color="auto"/>
            </w:tcBorders>
          </w:tcPr>
          <w:p w14:paraId="063230B7"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kern w:val="0"/>
                <w:sz w:val="20"/>
                <w:lang w:eastAsia="en-US"/>
              </w:rPr>
            </w:pPr>
            <w:r w:rsidRPr="008A5F45">
              <w:rPr>
                <w:rFonts w:eastAsia="Times New Roman" w:cs="Times New Roman"/>
                <w:kern w:val="0"/>
                <w:sz w:val="20"/>
                <w:lang w:eastAsia="en-US"/>
              </w:rPr>
              <w:t xml:space="preserve">Standardized </w:t>
            </w:r>
            <w:r w:rsidRPr="008A5F45">
              <w:rPr>
                <w:rFonts w:eastAsia="Times New Roman" w:cs="Times New Roman"/>
                <w:i/>
                <w:iCs/>
                <w:kern w:val="0"/>
                <w:sz w:val="20"/>
                <w:lang w:eastAsia="en-US"/>
              </w:rPr>
              <w:t>β</w:t>
            </w:r>
          </w:p>
        </w:tc>
        <w:tc>
          <w:tcPr>
            <w:tcW w:w="487" w:type="pct"/>
            <w:tcBorders>
              <w:top w:val="single" w:sz="4" w:space="0" w:color="auto"/>
              <w:bottom w:val="single" w:sz="4" w:space="0" w:color="auto"/>
            </w:tcBorders>
          </w:tcPr>
          <w:p w14:paraId="4E8380BF"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kern w:val="0"/>
                <w:sz w:val="20"/>
                <w:lang w:eastAsia="en-US"/>
              </w:rPr>
            </w:pPr>
            <w:r w:rsidRPr="008A5F45">
              <w:rPr>
                <w:rFonts w:eastAsia="Times New Roman" w:cs="Times New Roman"/>
                <w:i/>
                <w:iCs/>
                <w:kern w:val="0"/>
                <w:sz w:val="20"/>
                <w:lang w:eastAsia="en-US"/>
              </w:rPr>
              <w:t>p-</w:t>
            </w:r>
            <w:r w:rsidRPr="008A5F45">
              <w:rPr>
                <w:rFonts w:eastAsia="Times New Roman" w:cs="Times New Roman"/>
                <w:kern w:val="0"/>
                <w:sz w:val="20"/>
                <w:lang w:eastAsia="en-US"/>
              </w:rPr>
              <w:t>value</w:t>
            </w:r>
          </w:p>
        </w:tc>
        <w:tc>
          <w:tcPr>
            <w:tcW w:w="789" w:type="pct"/>
            <w:tcBorders>
              <w:top w:val="single" w:sz="4" w:space="0" w:color="auto"/>
              <w:bottom w:val="single" w:sz="4" w:space="0" w:color="auto"/>
            </w:tcBorders>
          </w:tcPr>
          <w:p w14:paraId="25EEF5EE"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kern w:val="0"/>
                <w:sz w:val="20"/>
                <w:lang w:eastAsia="en-US"/>
              </w:rPr>
            </w:pPr>
            <w:r w:rsidRPr="008A5F45">
              <w:rPr>
                <w:rFonts w:eastAsia="Times New Roman" w:cs="Times New Roman"/>
                <w:kern w:val="0"/>
                <w:sz w:val="20"/>
                <w:lang w:eastAsia="en-US"/>
              </w:rPr>
              <w:t xml:space="preserve">Standardized </w:t>
            </w:r>
            <w:r w:rsidRPr="008A5F45">
              <w:rPr>
                <w:rFonts w:eastAsia="Times New Roman" w:cs="Times New Roman"/>
                <w:i/>
                <w:iCs/>
                <w:kern w:val="0"/>
                <w:sz w:val="20"/>
                <w:lang w:eastAsia="en-US"/>
              </w:rPr>
              <w:t>β</w:t>
            </w:r>
          </w:p>
        </w:tc>
        <w:tc>
          <w:tcPr>
            <w:tcW w:w="484" w:type="pct"/>
            <w:tcBorders>
              <w:top w:val="single" w:sz="4" w:space="0" w:color="auto"/>
              <w:bottom w:val="single" w:sz="4" w:space="0" w:color="auto"/>
            </w:tcBorders>
          </w:tcPr>
          <w:p w14:paraId="5B5D7D6E" w14:textId="77777777" w:rsidR="003E5B95" w:rsidRPr="008A5F45"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i/>
                <w:iCs/>
                <w:kern w:val="0"/>
                <w:sz w:val="20"/>
                <w:lang w:eastAsia="en-US"/>
              </w:rPr>
            </w:pPr>
            <w:r w:rsidRPr="008A5F45">
              <w:rPr>
                <w:rFonts w:eastAsia="Times New Roman" w:cs="Times New Roman"/>
                <w:i/>
                <w:iCs/>
                <w:kern w:val="0"/>
                <w:sz w:val="20"/>
                <w:lang w:eastAsia="en-US"/>
              </w:rPr>
              <w:t>p-</w:t>
            </w:r>
            <w:r w:rsidRPr="008A5F45">
              <w:rPr>
                <w:rFonts w:eastAsia="Times New Roman" w:cs="Times New Roman"/>
                <w:kern w:val="0"/>
                <w:sz w:val="20"/>
                <w:lang w:eastAsia="en-US"/>
              </w:rPr>
              <w:t>value</w:t>
            </w:r>
          </w:p>
        </w:tc>
      </w:tr>
      <w:tr w:rsidR="003E5B95" w:rsidRPr="00EA6A87" w14:paraId="75D6455A"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top w:val="single" w:sz="4" w:space="0" w:color="auto"/>
              <w:right w:val="single" w:sz="4" w:space="0" w:color="auto"/>
            </w:tcBorders>
            <w:hideMark/>
          </w:tcPr>
          <w:p w14:paraId="583DA0C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(Constant)</w:t>
            </w:r>
          </w:p>
        </w:tc>
        <w:tc>
          <w:tcPr>
            <w:tcW w:w="789" w:type="pct"/>
            <w:tcBorders>
              <w:top w:val="single" w:sz="4" w:space="0" w:color="auto"/>
              <w:left w:val="single" w:sz="4" w:space="0" w:color="auto"/>
            </w:tcBorders>
            <w:hideMark/>
          </w:tcPr>
          <w:p w14:paraId="4F4F18D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 </w:t>
            </w:r>
          </w:p>
        </w:tc>
        <w:tc>
          <w:tcPr>
            <w:tcW w:w="488" w:type="pct"/>
            <w:tcBorders>
              <w:top w:val="single" w:sz="4" w:space="0" w:color="auto"/>
            </w:tcBorders>
            <w:noWrap/>
            <w:hideMark/>
          </w:tcPr>
          <w:p w14:paraId="2877C7D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0.000</w:t>
            </w:r>
          </w:p>
        </w:tc>
        <w:tc>
          <w:tcPr>
            <w:tcW w:w="789" w:type="pct"/>
            <w:tcBorders>
              <w:top w:val="single" w:sz="4" w:space="0" w:color="auto"/>
            </w:tcBorders>
          </w:tcPr>
          <w:p w14:paraId="1639781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 </w:t>
            </w:r>
          </w:p>
        </w:tc>
        <w:tc>
          <w:tcPr>
            <w:tcW w:w="487" w:type="pct"/>
            <w:tcBorders>
              <w:top w:val="single" w:sz="4" w:space="0" w:color="auto"/>
            </w:tcBorders>
          </w:tcPr>
          <w:p w14:paraId="35C1CC8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0.000</w:t>
            </w:r>
          </w:p>
        </w:tc>
        <w:tc>
          <w:tcPr>
            <w:tcW w:w="789" w:type="pct"/>
            <w:tcBorders>
              <w:top w:val="single" w:sz="4" w:space="0" w:color="auto"/>
            </w:tcBorders>
          </w:tcPr>
          <w:p w14:paraId="66D0F2C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 </w:t>
            </w:r>
          </w:p>
        </w:tc>
        <w:tc>
          <w:tcPr>
            <w:tcW w:w="484" w:type="pct"/>
            <w:tcBorders>
              <w:top w:val="single" w:sz="4" w:space="0" w:color="auto"/>
            </w:tcBorders>
          </w:tcPr>
          <w:p w14:paraId="78FF511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0.000</w:t>
            </w:r>
          </w:p>
        </w:tc>
      </w:tr>
      <w:tr w:rsidR="003E5B95" w:rsidRPr="00EA6A87" w14:paraId="4BDA168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82F8CD9"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Tenure</w:t>
            </w:r>
          </w:p>
        </w:tc>
        <w:tc>
          <w:tcPr>
            <w:tcW w:w="789" w:type="pct"/>
            <w:tcBorders>
              <w:left w:val="single" w:sz="4" w:space="0" w:color="auto"/>
            </w:tcBorders>
            <w:noWrap/>
            <w:hideMark/>
          </w:tcPr>
          <w:p w14:paraId="133B441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-0.002</w:t>
            </w:r>
          </w:p>
        </w:tc>
        <w:tc>
          <w:tcPr>
            <w:tcW w:w="488" w:type="pct"/>
            <w:noWrap/>
            <w:hideMark/>
          </w:tcPr>
          <w:p w14:paraId="63B0D9D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0.979</w:t>
            </w:r>
          </w:p>
        </w:tc>
        <w:tc>
          <w:tcPr>
            <w:tcW w:w="789" w:type="pct"/>
          </w:tcPr>
          <w:p w14:paraId="12A2B82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-0.004</w:t>
            </w:r>
          </w:p>
        </w:tc>
        <w:tc>
          <w:tcPr>
            <w:tcW w:w="487" w:type="pct"/>
          </w:tcPr>
          <w:p w14:paraId="077F3A8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0.959</w:t>
            </w:r>
          </w:p>
        </w:tc>
        <w:tc>
          <w:tcPr>
            <w:tcW w:w="789" w:type="pct"/>
          </w:tcPr>
          <w:p w14:paraId="36F4699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-0.015</w:t>
            </w:r>
          </w:p>
        </w:tc>
        <w:tc>
          <w:tcPr>
            <w:tcW w:w="484" w:type="pct"/>
          </w:tcPr>
          <w:p w14:paraId="5984847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0.832</w:t>
            </w:r>
          </w:p>
        </w:tc>
      </w:tr>
      <w:tr w:rsidR="003E5B95" w:rsidRPr="00EA6A87" w14:paraId="72A0917B"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089E2DD4"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Overall EMS Experience</w:t>
            </w:r>
          </w:p>
        </w:tc>
        <w:tc>
          <w:tcPr>
            <w:tcW w:w="789" w:type="pct"/>
            <w:tcBorders>
              <w:left w:val="single" w:sz="4" w:space="0" w:color="auto"/>
            </w:tcBorders>
            <w:noWrap/>
            <w:hideMark/>
          </w:tcPr>
          <w:p w14:paraId="3750E52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0.091</w:t>
            </w:r>
          </w:p>
        </w:tc>
        <w:tc>
          <w:tcPr>
            <w:tcW w:w="488" w:type="pct"/>
            <w:noWrap/>
            <w:hideMark/>
          </w:tcPr>
          <w:p w14:paraId="3572BE9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0.241</w:t>
            </w:r>
          </w:p>
        </w:tc>
        <w:tc>
          <w:tcPr>
            <w:tcW w:w="789" w:type="pct"/>
          </w:tcPr>
          <w:p w14:paraId="0E056E2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0.037</w:t>
            </w:r>
          </w:p>
        </w:tc>
        <w:tc>
          <w:tcPr>
            <w:tcW w:w="487" w:type="pct"/>
          </w:tcPr>
          <w:p w14:paraId="015FD83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0.578</w:t>
            </w:r>
          </w:p>
        </w:tc>
        <w:tc>
          <w:tcPr>
            <w:tcW w:w="789" w:type="pct"/>
          </w:tcPr>
          <w:p w14:paraId="54F5733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0.092</w:t>
            </w:r>
          </w:p>
        </w:tc>
        <w:tc>
          <w:tcPr>
            <w:tcW w:w="484" w:type="pct"/>
          </w:tcPr>
          <w:p w14:paraId="6752E82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0.166</w:t>
            </w:r>
          </w:p>
        </w:tc>
      </w:tr>
      <w:tr w:rsidR="003E5B95" w:rsidRPr="00EA6A87" w14:paraId="39C83804"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14FA04D0"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Age</w:t>
            </w:r>
          </w:p>
        </w:tc>
        <w:tc>
          <w:tcPr>
            <w:tcW w:w="789" w:type="pct"/>
            <w:tcBorders>
              <w:left w:val="single" w:sz="4" w:space="0" w:color="auto"/>
            </w:tcBorders>
            <w:noWrap/>
            <w:hideMark/>
          </w:tcPr>
          <w:p w14:paraId="56974D0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-0.070</w:t>
            </w:r>
          </w:p>
        </w:tc>
        <w:tc>
          <w:tcPr>
            <w:tcW w:w="488" w:type="pct"/>
            <w:noWrap/>
            <w:hideMark/>
          </w:tcPr>
          <w:p w14:paraId="057382A8"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0.313</w:t>
            </w:r>
          </w:p>
        </w:tc>
        <w:tc>
          <w:tcPr>
            <w:tcW w:w="789" w:type="pct"/>
          </w:tcPr>
          <w:p w14:paraId="3B680A7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-0.029</w:t>
            </w:r>
          </w:p>
        </w:tc>
        <w:tc>
          <w:tcPr>
            <w:tcW w:w="487" w:type="pct"/>
          </w:tcPr>
          <w:p w14:paraId="21669A9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0.649</w:t>
            </w:r>
          </w:p>
        </w:tc>
        <w:tc>
          <w:tcPr>
            <w:tcW w:w="789" w:type="pct"/>
          </w:tcPr>
          <w:p w14:paraId="7844D257"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-0.009</w:t>
            </w:r>
          </w:p>
        </w:tc>
        <w:tc>
          <w:tcPr>
            <w:tcW w:w="484" w:type="pct"/>
          </w:tcPr>
          <w:p w14:paraId="034644C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0.890</w:t>
            </w:r>
          </w:p>
        </w:tc>
      </w:tr>
      <w:tr w:rsidR="003E5B95" w:rsidRPr="00EA6A87" w14:paraId="3865EF36"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5119C91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Gender</w:t>
            </w:r>
          </w:p>
        </w:tc>
        <w:tc>
          <w:tcPr>
            <w:tcW w:w="789" w:type="pct"/>
            <w:tcBorders>
              <w:left w:val="single" w:sz="4" w:space="0" w:color="auto"/>
            </w:tcBorders>
            <w:noWrap/>
            <w:hideMark/>
          </w:tcPr>
          <w:p w14:paraId="654588A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-0.049</w:t>
            </w:r>
          </w:p>
        </w:tc>
        <w:tc>
          <w:tcPr>
            <w:tcW w:w="488" w:type="pct"/>
            <w:noWrap/>
            <w:hideMark/>
          </w:tcPr>
          <w:p w14:paraId="3799033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0.437</w:t>
            </w:r>
          </w:p>
        </w:tc>
        <w:tc>
          <w:tcPr>
            <w:tcW w:w="789" w:type="pct"/>
          </w:tcPr>
          <w:p w14:paraId="041DB29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-0.006</w:t>
            </w:r>
          </w:p>
        </w:tc>
        <w:tc>
          <w:tcPr>
            <w:tcW w:w="487" w:type="pct"/>
          </w:tcPr>
          <w:p w14:paraId="025A3C7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0.923</w:t>
            </w:r>
          </w:p>
        </w:tc>
        <w:tc>
          <w:tcPr>
            <w:tcW w:w="789" w:type="pct"/>
          </w:tcPr>
          <w:p w14:paraId="5ACEEF6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0.045</w:t>
            </w:r>
          </w:p>
        </w:tc>
        <w:tc>
          <w:tcPr>
            <w:tcW w:w="484" w:type="pct"/>
          </w:tcPr>
          <w:p w14:paraId="4FC44A5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0.436</w:t>
            </w:r>
          </w:p>
        </w:tc>
      </w:tr>
      <w:tr w:rsidR="003E5B95" w:rsidRPr="00EA6A87" w14:paraId="1408B1E6"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996B62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Edu</w:t>
            </w:r>
          </w:p>
        </w:tc>
        <w:tc>
          <w:tcPr>
            <w:tcW w:w="789" w:type="pct"/>
            <w:tcBorders>
              <w:left w:val="single" w:sz="4" w:space="0" w:color="auto"/>
            </w:tcBorders>
            <w:noWrap/>
            <w:hideMark/>
          </w:tcPr>
          <w:p w14:paraId="65D686E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-0.040</w:t>
            </w:r>
          </w:p>
        </w:tc>
        <w:tc>
          <w:tcPr>
            <w:tcW w:w="488" w:type="pct"/>
            <w:noWrap/>
            <w:hideMark/>
          </w:tcPr>
          <w:p w14:paraId="72012C9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0.536</w:t>
            </w:r>
          </w:p>
        </w:tc>
        <w:tc>
          <w:tcPr>
            <w:tcW w:w="789" w:type="pct"/>
          </w:tcPr>
          <w:p w14:paraId="3219A328"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-0.086</w:t>
            </w:r>
          </w:p>
        </w:tc>
        <w:tc>
          <w:tcPr>
            <w:tcW w:w="487" w:type="pct"/>
          </w:tcPr>
          <w:p w14:paraId="1C9515D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0.120</w:t>
            </w:r>
          </w:p>
        </w:tc>
        <w:tc>
          <w:tcPr>
            <w:tcW w:w="789" w:type="pct"/>
          </w:tcPr>
          <w:p w14:paraId="1E72B61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-0.139</w:t>
            </w:r>
          </w:p>
        </w:tc>
        <w:tc>
          <w:tcPr>
            <w:tcW w:w="484" w:type="pct"/>
          </w:tcPr>
          <w:p w14:paraId="31BF541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0.013</w:t>
            </w:r>
          </w:p>
        </w:tc>
      </w:tr>
      <w:tr w:rsidR="003E5B95" w:rsidRPr="00EA6A87" w14:paraId="1CB0FA5E"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2C9D6DFE"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EXT</w:t>
            </w:r>
          </w:p>
        </w:tc>
        <w:tc>
          <w:tcPr>
            <w:tcW w:w="789" w:type="pct"/>
            <w:tcBorders>
              <w:left w:val="single" w:sz="4" w:space="0" w:color="auto"/>
            </w:tcBorders>
          </w:tcPr>
          <w:p w14:paraId="2E916DE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C3245C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FACD89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-0.019</w:t>
            </w:r>
          </w:p>
        </w:tc>
        <w:tc>
          <w:tcPr>
            <w:tcW w:w="487" w:type="pct"/>
          </w:tcPr>
          <w:p w14:paraId="34FDC9C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0.796</w:t>
            </w:r>
          </w:p>
        </w:tc>
        <w:tc>
          <w:tcPr>
            <w:tcW w:w="789" w:type="pct"/>
          </w:tcPr>
          <w:p w14:paraId="0732EEF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0.009</w:t>
            </w:r>
          </w:p>
        </w:tc>
        <w:tc>
          <w:tcPr>
            <w:tcW w:w="484" w:type="pct"/>
          </w:tcPr>
          <w:p w14:paraId="4805AC5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0.906</w:t>
            </w:r>
          </w:p>
        </w:tc>
      </w:tr>
      <w:tr w:rsidR="003E5B95" w:rsidRPr="00EA6A87" w14:paraId="3D3B0DED"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4C81B88C"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AGR</w:t>
            </w:r>
          </w:p>
        </w:tc>
        <w:tc>
          <w:tcPr>
            <w:tcW w:w="789" w:type="pct"/>
            <w:tcBorders>
              <w:left w:val="single" w:sz="4" w:space="0" w:color="auto"/>
            </w:tcBorders>
            <w:noWrap/>
          </w:tcPr>
          <w:p w14:paraId="2791A8E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A08874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543B33F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-0.163</w:t>
            </w:r>
          </w:p>
        </w:tc>
        <w:tc>
          <w:tcPr>
            <w:tcW w:w="487" w:type="pct"/>
          </w:tcPr>
          <w:p w14:paraId="7E4678C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0.056</w:t>
            </w:r>
          </w:p>
        </w:tc>
        <w:tc>
          <w:tcPr>
            <w:tcW w:w="789" w:type="pct"/>
          </w:tcPr>
          <w:p w14:paraId="70936A0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-0.264</w:t>
            </w:r>
          </w:p>
        </w:tc>
        <w:tc>
          <w:tcPr>
            <w:tcW w:w="484" w:type="pct"/>
          </w:tcPr>
          <w:p w14:paraId="6256F67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0.004</w:t>
            </w:r>
          </w:p>
        </w:tc>
      </w:tr>
      <w:tr w:rsidR="003E5B95" w:rsidRPr="00EA6A87" w14:paraId="5FCB4FB3"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1D9201E2"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CON</w:t>
            </w:r>
          </w:p>
        </w:tc>
        <w:tc>
          <w:tcPr>
            <w:tcW w:w="789" w:type="pct"/>
            <w:tcBorders>
              <w:left w:val="single" w:sz="4" w:space="0" w:color="auto"/>
            </w:tcBorders>
            <w:noWrap/>
          </w:tcPr>
          <w:p w14:paraId="055F0B3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A3D840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14FF255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0.144</w:t>
            </w:r>
          </w:p>
        </w:tc>
        <w:tc>
          <w:tcPr>
            <w:tcW w:w="487" w:type="pct"/>
          </w:tcPr>
          <w:p w14:paraId="1B4731F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0.094</w:t>
            </w:r>
          </w:p>
        </w:tc>
        <w:tc>
          <w:tcPr>
            <w:tcW w:w="789" w:type="pct"/>
          </w:tcPr>
          <w:p w14:paraId="1554007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0.080</w:t>
            </w:r>
          </w:p>
        </w:tc>
        <w:tc>
          <w:tcPr>
            <w:tcW w:w="484" w:type="pct"/>
          </w:tcPr>
          <w:p w14:paraId="52A35A4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0.435</w:t>
            </w:r>
          </w:p>
        </w:tc>
      </w:tr>
      <w:tr w:rsidR="003E5B95" w:rsidRPr="00EA6A87" w14:paraId="05A69AC8"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15BD742D"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NEG</w:t>
            </w:r>
          </w:p>
        </w:tc>
        <w:tc>
          <w:tcPr>
            <w:tcW w:w="789" w:type="pct"/>
            <w:tcBorders>
              <w:left w:val="single" w:sz="4" w:space="0" w:color="auto"/>
            </w:tcBorders>
            <w:noWrap/>
          </w:tcPr>
          <w:p w14:paraId="201E964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5077D08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1F8871E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0.091</w:t>
            </w:r>
          </w:p>
        </w:tc>
        <w:tc>
          <w:tcPr>
            <w:tcW w:w="487" w:type="pct"/>
          </w:tcPr>
          <w:p w14:paraId="5085E1F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0.218</w:t>
            </w:r>
          </w:p>
        </w:tc>
        <w:tc>
          <w:tcPr>
            <w:tcW w:w="789" w:type="pct"/>
          </w:tcPr>
          <w:p w14:paraId="3B39912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0.011</w:t>
            </w:r>
          </w:p>
        </w:tc>
        <w:tc>
          <w:tcPr>
            <w:tcW w:w="484" w:type="pct"/>
          </w:tcPr>
          <w:p w14:paraId="2A832EC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0.890</w:t>
            </w:r>
          </w:p>
        </w:tc>
      </w:tr>
      <w:tr w:rsidR="003E5B95" w:rsidRPr="00EA6A87" w14:paraId="0CA6AAEA"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638CA240"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OPEN</w:t>
            </w:r>
          </w:p>
        </w:tc>
        <w:tc>
          <w:tcPr>
            <w:tcW w:w="789" w:type="pct"/>
            <w:tcBorders>
              <w:left w:val="single" w:sz="4" w:space="0" w:color="auto"/>
            </w:tcBorders>
            <w:noWrap/>
          </w:tcPr>
          <w:p w14:paraId="253968E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67A8F8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6E21D6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-0.001</w:t>
            </w:r>
          </w:p>
        </w:tc>
        <w:tc>
          <w:tcPr>
            <w:tcW w:w="487" w:type="pct"/>
          </w:tcPr>
          <w:p w14:paraId="6B8F5BC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0.994</w:t>
            </w:r>
          </w:p>
        </w:tc>
        <w:tc>
          <w:tcPr>
            <w:tcW w:w="789" w:type="pct"/>
          </w:tcPr>
          <w:p w14:paraId="75BFB25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0.032</w:t>
            </w:r>
          </w:p>
        </w:tc>
        <w:tc>
          <w:tcPr>
            <w:tcW w:w="484" w:type="pct"/>
          </w:tcPr>
          <w:p w14:paraId="5629622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0.668</w:t>
            </w:r>
          </w:p>
        </w:tc>
      </w:tr>
      <w:tr w:rsidR="003E5B95" w:rsidRPr="00EA6A87" w14:paraId="6249934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70F79072"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w:t>
            </w:r>
          </w:p>
        </w:tc>
        <w:tc>
          <w:tcPr>
            <w:tcW w:w="789" w:type="pct"/>
            <w:tcBorders>
              <w:left w:val="single" w:sz="4" w:space="0" w:color="auto"/>
            </w:tcBorders>
            <w:noWrap/>
          </w:tcPr>
          <w:p w14:paraId="646D638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538FB3C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AF046D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0.184</w:t>
            </w:r>
          </w:p>
        </w:tc>
        <w:tc>
          <w:tcPr>
            <w:tcW w:w="487" w:type="pct"/>
          </w:tcPr>
          <w:p w14:paraId="7EDB4BE5"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0.026</w:t>
            </w:r>
          </w:p>
        </w:tc>
        <w:tc>
          <w:tcPr>
            <w:tcW w:w="789" w:type="pct"/>
          </w:tcPr>
          <w:p w14:paraId="3DFB989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0.202</w:t>
            </w:r>
          </w:p>
        </w:tc>
        <w:tc>
          <w:tcPr>
            <w:tcW w:w="484" w:type="pct"/>
          </w:tcPr>
          <w:p w14:paraId="7818964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0.023</w:t>
            </w:r>
          </w:p>
        </w:tc>
      </w:tr>
      <w:tr w:rsidR="003E5B95" w:rsidRPr="00EA6A87" w14:paraId="52C2CA6D"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3BA31BD3"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INTEROP</w:t>
            </w:r>
          </w:p>
        </w:tc>
        <w:tc>
          <w:tcPr>
            <w:tcW w:w="789" w:type="pct"/>
            <w:tcBorders>
              <w:left w:val="single" w:sz="4" w:space="0" w:color="auto"/>
            </w:tcBorders>
            <w:noWrap/>
          </w:tcPr>
          <w:p w14:paraId="7B6F471D"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77081F1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0D9DA36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0.173</w:t>
            </w:r>
          </w:p>
        </w:tc>
        <w:tc>
          <w:tcPr>
            <w:tcW w:w="487" w:type="pct"/>
          </w:tcPr>
          <w:p w14:paraId="73935FFD"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0.031</w:t>
            </w:r>
          </w:p>
        </w:tc>
        <w:tc>
          <w:tcPr>
            <w:tcW w:w="789" w:type="pct"/>
          </w:tcPr>
          <w:p w14:paraId="77D6737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0.161</w:t>
            </w:r>
          </w:p>
        </w:tc>
        <w:tc>
          <w:tcPr>
            <w:tcW w:w="484" w:type="pct"/>
          </w:tcPr>
          <w:p w14:paraId="7919183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0.067</w:t>
            </w:r>
          </w:p>
        </w:tc>
      </w:tr>
      <w:tr w:rsidR="003E5B95" w:rsidRPr="00EA6A87" w14:paraId="78D9B2F9"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15DC865A"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w:t>
            </w:r>
          </w:p>
        </w:tc>
        <w:tc>
          <w:tcPr>
            <w:tcW w:w="789" w:type="pct"/>
            <w:tcBorders>
              <w:left w:val="single" w:sz="4" w:space="0" w:color="auto"/>
            </w:tcBorders>
            <w:noWrap/>
          </w:tcPr>
          <w:p w14:paraId="481ADA8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493D35F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C4D34C7"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0.125</w:t>
            </w:r>
          </w:p>
        </w:tc>
        <w:tc>
          <w:tcPr>
            <w:tcW w:w="487" w:type="pct"/>
          </w:tcPr>
          <w:p w14:paraId="48EE988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0.071</w:t>
            </w:r>
          </w:p>
        </w:tc>
        <w:tc>
          <w:tcPr>
            <w:tcW w:w="789" w:type="pct"/>
          </w:tcPr>
          <w:p w14:paraId="045E2B8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0.132</w:t>
            </w:r>
          </w:p>
        </w:tc>
        <w:tc>
          <w:tcPr>
            <w:tcW w:w="484" w:type="pct"/>
          </w:tcPr>
          <w:p w14:paraId="2BB9255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0.124</w:t>
            </w:r>
          </w:p>
        </w:tc>
      </w:tr>
      <w:tr w:rsidR="003E5B95" w:rsidRPr="00EA6A87" w14:paraId="389AB228"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52B3E1C8"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w:t>
            </w:r>
          </w:p>
        </w:tc>
        <w:tc>
          <w:tcPr>
            <w:tcW w:w="789" w:type="pct"/>
            <w:tcBorders>
              <w:left w:val="single" w:sz="4" w:space="0" w:color="auto"/>
            </w:tcBorders>
            <w:noWrap/>
          </w:tcPr>
          <w:p w14:paraId="59E9A21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72FBACB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C1E8F7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0.351</w:t>
            </w:r>
          </w:p>
        </w:tc>
        <w:tc>
          <w:tcPr>
            <w:tcW w:w="487" w:type="pct"/>
          </w:tcPr>
          <w:p w14:paraId="7B72F37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0.000</w:t>
            </w:r>
          </w:p>
        </w:tc>
        <w:tc>
          <w:tcPr>
            <w:tcW w:w="789" w:type="pct"/>
          </w:tcPr>
          <w:p w14:paraId="03F211C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0.260</w:t>
            </w:r>
          </w:p>
        </w:tc>
        <w:tc>
          <w:tcPr>
            <w:tcW w:w="484" w:type="pct"/>
          </w:tcPr>
          <w:p w14:paraId="78A04C4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b/>
                <w:bCs/>
                <w:kern w:val="0"/>
                <w:sz w:val="18"/>
                <w:szCs w:val="18"/>
                <w:lang w:eastAsia="en-US"/>
              </w:rPr>
              <w:t>0.001</w:t>
            </w:r>
          </w:p>
        </w:tc>
      </w:tr>
      <w:tr w:rsidR="003E5B95" w:rsidRPr="00EA6A87" w14:paraId="1584465B"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21B18046"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w:t>
            </w:r>
          </w:p>
        </w:tc>
        <w:tc>
          <w:tcPr>
            <w:tcW w:w="789" w:type="pct"/>
            <w:tcBorders>
              <w:left w:val="single" w:sz="4" w:space="0" w:color="auto"/>
            </w:tcBorders>
            <w:noWrap/>
          </w:tcPr>
          <w:p w14:paraId="3192CBC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67A1778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387339C7"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0.070</w:t>
            </w:r>
          </w:p>
        </w:tc>
        <w:tc>
          <w:tcPr>
            <w:tcW w:w="487" w:type="pct"/>
          </w:tcPr>
          <w:p w14:paraId="377C68E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0.394</w:t>
            </w:r>
          </w:p>
        </w:tc>
        <w:tc>
          <w:tcPr>
            <w:tcW w:w="789" w:type="pct"/>
          </w:tcPr>
          <w:p w14:paraId="3AD2199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0.107</w:t>
            </w:r>
          </w:p>
        </w:tc>
        <w:tc>
          <w:tcPr>
            <w:tcW w:w="484" w:type="pct"/>
          </w:tcPr>
          <w:p w14:paraId="292BEF3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0.196</w:t>
            </w:r>
          </w:p>
        </w:tc>
      </w:tr>
      <w:tr w:rsidR="003E5B95" w:rsidRPr="00EA6A87" w14:paraId="493F4C43"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tcPr>
          <w:p w14:paraId="0E8BC7D6"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w:t>
            </w:r>
          </w:p>
        </w:tc>
        <w:tc>
          <w:tcPr>
            <w:tcW w:w="789" w:type="pct"/>
            <w:tcBorders>
              <w:left w:val="single" w:sz="4" w:space="0" w:color="auto"/>
            </w:tcBorders>
            <w:noWrap/>
          </w:tcPr>
          <w:p w14:paraId="237E07C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34FC34A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A7BE33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0.043</w:t>
            </w:r>
          </w:p>
        </w:tc>
        <w:tc>
          <w:tcPr>
            <w:tcW w:w="487" w:type="pct"/>
          </w:tcPr>
          <w:p w14:paraId="0DC7E5C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0.605</w:t>
            </w:r>
          </w:p>
        </w:tc>
        <w:tc>
          <w:tcPr>
            <w:tcW w:w="789" w:type="pct"/>
          </w:tcPr>
          <w:p w14:paraId="48C703B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-0.022</w:t>
            </w:r>
          </w:p>
        </w:tc>
        <w:tc>
          <w:tcPr>
            <w:tcW w:w="484" w:type="pct"/>
          </w:tcPr>
          <w:p w14:paraId="15E6906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0.818</w:t>
            </w:r>
          </w:p>
        </w:tc>
      </w:tr>
      <w:tr w:rsidR="003E5B95" w:rsidRPr="00EA6A87" w14:paraId="5EDDBBFC"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1C5D75B1"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 x EXT</w:t>
            </w:r>
          </w:p>
        </w:tc>
        <w:tc>
          <w:tcPr>
            <w:tcW w:w="789" w:type="pct"/>
            <w:tcBorders>
              <w:left w:val="single" w:sz="4" w:space="0" w:color="auto"/>
            </w:tcBorders>
            <w:noWrap/>
          </w:tcPr>
          <w:p w14:paraId="4878C87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5CB03E4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7052D01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3406AE98"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7F64D0C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0.192</w:t>
            </w:r>
          </w:p>
        </w:tc>
        <w:tc>
          <w:tcPr>
            <w:tcW w:w="484" w:type="pct"/>
          </w:tcPr>
          <w:p w14:paraId="59A9B6F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0.116</w:t>
            </w:r>
          </w:p>
        </w:tc>
      </w:tr>
      <w:tr w:rsidR="003E5B95" w:rsidRPr="00EA6A87" w14:paraId="5B5196F9"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7B819599"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 x AGR</w:t>
            </w:r>
          </w:p>
        </w:tc>
        <w:tc>
          <w:tcPr>
            <w:tcW w:w="789" w:type="pct"/>
            <w:tcBorders>
              <w:left w:val="single" w:sz="4" w:space="0" w:color="auto"/>
            </w:tcBorders>
            <w:noWrap/>
          </w:tcPr>
          <w:p w14:paraId="355513B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488" w:type="pct"/>
            <w:noWrap/>
          </w:tcPr>
          <w:p w14:paraId="1BE2BE3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64A8BA5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487" w:type="pct"/>
          </w:tcPr>
          <w:p w14:paraId="3801A4CD"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321C165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0.267</w:t>
            </w:r>
          </w:p>
        </w:tc>
        <w:tc>
          <w:tcPr>
            <w:tcW w:w="484" w:type="pct"/>
          </w:tcPr>
          <w:p w14:paraId="7A92584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0.032</w:t>
            </w:r>
          </w:p>
        </w:tc>
      </w:tr>
      <w:tr w:rsidR="003E5B95" w:rsidRPr="00EA6A87" w14:paraId="7453E36A"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6419BFF9"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 x CON</w:t>
            </w:r>
          </w:p>
        </w:tc>
        <w:tc>
          <w:tcPr>
            <w:tcW w:w="789" w:type="pct"/>
            <w:tcBorders>
              <w:left w:val="single" w:sz="4" w:space="0" w:color="auto"/>
            </w:tcBorders>
            <w:noWrap/>
          </w:tcPr>
          <w:p w14:paraId="4AE6946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0AD8820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2EFFE52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2A07215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6E9729C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-0.142</w:t>
            </w:r>
          </w:p>
        </w:tc>
        <w:tc>
          <w:tcPr>
            <w:tcW w:w="484" w:type="pct"/>
          </w:tcPr>
          <w:p w14:paraId="382B687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0.255</w:t>
            </w:r>
          </w:p>
        </w:tc>
      </w:tr>
      <w:tr w:rsidR="003E5B95" w:rsidRPr="00EA6A87" w14:paraId="3648269C"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51484434"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 x NEG</w:t>
            </w:r>
          </w:p>
        </w:tc>
        <w:tc>
          <w:tcPr>
            <w:tcW w:w="789" w:type="pct"/>
            <w:tcBorders>
              <w:left w:val="single" w:sz="4" w:space="0" w:color="auto"/>
            </w:tcBorders>
            <w:noWrap/>
          </w:tcPr>
          <w:p w14:paraId="5C6D71E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6DB7A42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92141F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4BEC537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44A883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0.027</w:t>
            </w:r>
          </w:p>
        </w:tc>
        <w:tc>
          <w:tcPr>
            <w:tcW w:w="484" w:type="pct"/>
          </w:tcPr>
          <w:p w14:paraId="7A58A89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0.838</w:t>
            </w:r>
          </w:p>
        </w:tc>
      </w:tr>
      <w:tr w:rsidR="003E5B95" w:rsidRPr="00EA6A87" w14:paraId="5DF14AAF"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08FDF76E"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USE x OPEN</w:t>
            </w:r>
          </w:p>
        </w:tc>
        <w:tc>
          <w:tcPr>
            <w:tcW w:w="789" w:type="pct"/>
            <w:tcBorders>
              <w:left w:val="single" w:sz="4" w:space="0" w:color="auto"/>
            </w:tcBorders>
            <w:noWrap/>
          </w:tcPr>
          <w:p w14:paraId="1209F8C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398A3A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31CB4FE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5FC6268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FC0739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-0.134</w:t>
            </w:r>
          </w:p>
        </w:tc>
        <w:tc>
          <w:tcPr>
            <w:tcW w:w="484" w:type="pct"/>
          </w:tcPr>
          <w:p w14:paraId="252029D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0.199</w:t>
            </w:r>
          </w:p>
        </w:tc>
      </w:tr>
      <w:tr w:rsidR="003E5B95" w:rsidRPr="00EA6A87" w14:paraId="0971916A"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0CCAFCE9"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INTEROP x EXT</w:t>
            </w:r>
          </w:p>
        </w:tc>
        <w:tc>
          <w:tcPr>
            <w:tcW w:w="789" w:type="pct"/>
            <w:tcBorders>
              <w:left w:val="single" w:sz="4" w:space="0" w:color="auto"/>
            </w:tcBorders>
            <w:noWrap/>
          </w:tcPr>
          <w:p w14:paraId="6255283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77F5DC2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2E0C2AF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23D8712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17922C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-0.085</w:t>
            </w:r>
          </w:p>
        </w:tc>
        <w:tc>
          <w:tcPr>
            <w:tcW w:w="484" w:type="pct"/>
          </w:tcPr>
          <w:p w14:paraId="5F382F0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0.447</w:t>
            </w:r>
          </w:p>
        </w:tc>
      </w:tr>
      <w:tr w:rsidR="003E5B95" w:rsidRPr="00EA6A87" w14:paraId="59DD9EDA"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64E44FD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INTEROP x AGR</w:t>
            </w:r>
          </w:p>
        </w:tc>
        <w:tc>
          <w:tcPr>
            <w:tcW w:w="789" w:type="pct"/>
            <w:tcBorders>
              <w:left w:val="single" w:sz="4" w:space="0" w:color="auto"/>
            </w:tcBorders>
            <w:noWrap/>
          </w:tcPr>
          <w:p w14:paraId="25D8F8F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0FD455E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5FF14D65"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473315E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0DDBFC3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-0.213</w:t>
            </w:r>
          </w:p>
        </w:tc>
        <w:tc>
          <w:tcPr>
            <w:tcW w:w="484" w:type="pct"/>
          </w:tcPr>
          <w:p w14:paraId="4B676D6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0.094</w:t>
            </w:r>
          </w:p>
        </w:tc>
      </w:tr>
      <w:tr w:rsidR="003E5B95" w:rsidRPr="00EA6A87" w14:paraId="012E2112"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2623EA23"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INTEROP x CON</w:t>
            </w:r>
          </w:p>
        </w:tc>
        <w:tc>
          <w:tcPr>
            <w:tcW w:w="789" w:type="pct"/>
            <w:tcBorders>
              <w:left w:val="single" w:sz="4" w:space="0" w:color="auto"/>
            </w:tcBorders>
            <w:noWrap/>
          </w:tcPr>
          <w:p w14:paraId="4ADA0B7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9F7C54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2157185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254DB79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18A057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0.119</w:t>
            </w:r>
          </w:p>
        </w:tc>
        <w:tc>
          <w:tcPr>
            <w:tcW w:w="484" w:type="pct"/>
          </w:tcPr>
          <w:p w14:paraId="17004A4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0.250</w:t>
            </w:r>
          </w:p>
        </w:tc>
      </w:tr>
      <w:tr w:rsidR="003E5B95" w:rsidRPr="00EA6A87" w14:paraId="78540CCD"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61B76782"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NTEROP x NEG</w:t>
            </w:r>
          </w:p>
        </w:tc>
        <w:tc>
          <w:tcPr>
            <w:tcW w:w="789" w:type="pct"/>
            <w:tcBorders>
              <w:left w:val="single" w:sz="4" w:space="0" w:color="auto"/>
            </w:tcBorders>
            <w:noWrap/>
          </w:tcPr>
          <w:p w14:paraId="540ADA5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3F681BE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1803E30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682A845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2252D1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-0.109</w:t>
            </w:r>
          </w:p>
        </w:tc>
        <w:tc>
          <w:tcPr>
            <w:tcW w:w="484" w:type="pct"/>
          </w:tcPr>
          <w:p w14:paraId="2740B45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0.337</w:t>
            </w:r>
          </w:p>
        </w:tc>
      </w:tr>
      <w:tr w:rsidR="003E5B95" w:rsidRPr="00EA6A87" w14:paraId="3C6AF957"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4B7C1D71"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INTEROP x OPEN</w:t>
            </w:r>
          </w:p>
        </w:tc>
        <w:tc>
          <w:tcPr>
            <w:tcW w:w="789" w:type="pct"/>
            <w:tcBorders>
              <w:left w:val="single" w:sz="4" w:space="0" w:color="auto"/>
            </w:tcBorders>
            <w:noWrap/>
          </w:tcPr>
          <w:p w14:paraId="7382536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69C5E6E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683872D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589AF8D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C498D0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-0.143</w:t>
            </w:r>
          </w:p>
        </w:tc>
        <w:tc>
          <w:tcPr>
            <w:tcW w:w="484" w:type="pct"/>
          </w:tcPr>
          <w:p w14:paraId="3CB30F9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0.087</w:t>
            </w:r>
          </w:p>
        </w:tc>
      </w:tr>
      <w:tr w:rsidR="003E5B95" w:rsidRPr="00EA6A87" w14:paraId="3D59D15C"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6EEC4962"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 x EXT</w:t>
            </w:r>
          </w:p>
        </w:tc>
        <w:tc>
          <w:tcPr>
            <w:tcW w:w="789" w:type="pct"/>
            <w:tcBorders>
              <w:left w:val="single" w:sz="4" w:space="0" w:color="auto"/>
            </w:tcBorders>
            <w:noWrap/>
          </w:tcPr>
          <w:p w14:paraId="79C8191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0C77047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CF1ED0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781E925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7E1C07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-0.083</w:t>
            </w:r>
          </w:p>
        </w:tc>
        <w:tc>
          <w:tcPr>
            <w:tcW w:w="484" w:type="pct"/>
          </w:tcPr>
          <w:p w14:paraId="3AA093F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0.367</w:t>
            </w:r>
          </w:p>
        </w:tc>
      </w:tr>
      <w:tr w:rsidR="003E5B95" w:rsidRPr="00EA6A87" w14:paraId="2BA6C25E"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9C193B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 x AGR</w:t>
            </w:r>
          </w:p>
        </w:tc>
        <w:tc>
          <w:tcPr>
            <w:tcW w:w="789" w:type="pct"/>
            <w:tcBorders>
              <w:left w:val="single" w:sz="4" w:space="0" w:color="auto"/>
            </w:tcBorders>
            <w:noWrap/>
          </w:tcPr>
          <w:p w14:paraId="524C661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57F44F7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5298CE3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4B2CBD5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0E69BCB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0.128</w:t>
            </w:r>
          </w:p>
        </w:tc>
        <w:tc>
          <w:tcPr>
            <w:tcW w:w="484" w:type="pct"/>
          </w:tcPr>
          <w:p w14:paraId="097A15E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0.195</w:t>
            </w:r>
          </w:p>
        </w:tc>
      </w:tr>
      <w:tr w:rsidR="003E5B95" w:rsidRPr="00EA6A87" w14:paraId="3E100989"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77B5143"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 x CON</w:t>
            </w:r>
          </w:p>
        </w:tc>
        <w:tc>
          <w:tcPr>
            <w:tcW w:w="789" w:type="pct"/>
            <w:tcBorders>
              <w:left w:val="single" w:sz="4" w:space="0" w:color="auto"/>
            </w:tcBorders>
            <w:noWrap/>
          </w:tcPr>
          <w:p w14:paraId="10E94B4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60F90D9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D8B92A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7E85017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F96A11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-0.223</w:t>
            </w:r>
          </w:p>
        </w:tc>
        <w:tc>
          <w:tcPr>
            <w:tcW w:w="484" w:type="pct"/>
          </w:tcPr>
          <w:p w14:paraId="60AF3EF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0.084</w:t>
            </w:r>
          </w:p>
        </w:tc>
      </w:tr>
      <w:tr w:rsidR="003E5B95" w:rsidRPr="00EA6A87" w14:paraId="0945DD70"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084AAB42"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 x NEG</w:t>
            </w:r>
          </w:p>
        </w:tc>
        <w:tc>
          <w:tcPr>
            <w:tcW w:w="789" w:type="pct"/>
            <w:tcBorders>
              <w:left w:val="single" w:sz="4" w:space="0" w:color="auto"/>
            </w:tcBorders>
            <w:noWrap/>
          </w:tcPr>
          <w:p w14:paraId="3398B85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488" w:type="pct"/>
            <w:noWrap/>
          </w:tcPr>
          <w:p w14:paraId="04E42E9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40DBC93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487" w:type="pct"/>
          </w:tcPr>
          <w:p w14:paraId="4AC340E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3F9EF7A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-0.166</w:t>
            </w:r>
          </w:p>
        </w:tc>
        <w:tc>
          <w:tcPr>
            <w:tcW w:w="484" w:type="pct"/>
          </w:tcPr>
          <w:p w14:paraId="508E970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0.040</w:t>
            </w:r>
          </w:p>
        </w:tc>
      </w:tr>
      <w:tr w:rsidR="003E5B95" w:rsidRPr="00EA6A87" w14:paraId="26340EA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584CD3F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FALSENEG x OPEN</w:t>
            </w:r>
          </w:p>
        </w:tc>
        <w:tc>
          <w:tcPr>
            <w:tcW w:w="789" w:type="pct"/>
            <w:tcBorders>
              <w:left w:val="single" w:sz="4" w:space="0" w:color="auto"/>
            </w:tcBorders>
            <w:noWrap/>
          </w:tcPr>
          <w:p w14:paraId="166DD453"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0E77433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1059ED92"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64FBBF0C"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28DD145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-0.022</w:t>
            </w:r>
          </w:p>
        </w:tc>
        <w:tc>
          <w:tcPr>
            <w:tcW w:w="484" w:type="pct"/>
          </w:tcPr>
          <w:p w14:paraId="446307E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0.792</w:t>
            </w:r>
          </w:p>
        </w:tc>
      </w:tr>
      <w:tr w:rsidR="003E5B95" w:rsidRPr="00EA6A87" w14:paraId="2B3247AC"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621EFC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 x EXT</w:t>
            </w:r>
          </w:p>
        </w:tc>
        <w:tc>
          <w:tcPr>
            <w:tcW w:w="789" w:type="pct"/>
            <w:tcBorders>
              <w:left w:val="single" w:sz="4" w:space="0" w:color="auto"/>
            </w:tcBorders>
            <w:noWrap/>
          </w:tcPr>
          <w:p w14:paraId="4EF9B05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5BEDDE4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4F75353D"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5E88512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2E9D556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-0.082</w:t>
            </w:r>
          </w:p>
        </w:tc>
        <w:tc>
          <w:tcPr>
            <w:tcW w:w="484" w:type="pct"/>
          </w:tcPr>
          <w:p w14:paraId="64E11D6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0.362</w:t>
            </w:r>
          </w:p>
        </w:tc>
      </w:tr>
      <w:tr w:rsidR="003E5B95" w:rsidRPr="00EA6A87" w14:paraId="595C4D2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42F454F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 x AGR</w:t>
            </w:r>
          </w:p>
        </w:tc>
        <w:tc>
          <w:tcPr>
            <w:tcW w:w="789" w:type="pct"/>
            <w:tcBorders>
              <w:left w:val="single" w:sz="4" w:space="0" w:color="auto"/>
            </w:tcBorders>
            <w:noWrap/>
          </w:tcPr>
          <w:p w14:paraId="326D875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EEED4A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1B5FCFC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45B39E8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16D462B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0.124</w:t>
            </w:r>
          </w:p>
        </w:tc>
        <w:tc>
          <w:tcPr>
            <w:tcW w:w="484" w:type="pct"/>
          </w:tcPr>
          <w:p w14:paraId="6CDC4552"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0.186</w:t>
            </w:r>
          </w:p>
        </w:tc>
      </w:tr>
      <w:tr w:rsidR="003E5B95" w:rsidRPr="00EA6A87" w14:paraId="6D375727"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4507CC0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 x CON</w:t>
            </w:r>
          </w:p>
        </w:tc>
        <w:tc>
          <w:tcPr>
            <w:tcW w:w="789" w:type="pct"/>
            <w:tcBorders>
              <w:left w:val="single" w:sz="4" w:space="0" w:color="auto"/>
            </w:tcBorders>
            <w:noWrap/>
          </w:tcPr>
          <w:p w14:paraId="572ABE4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DD250D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2873C73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7CAE0F32"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C89F44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0.120</w:t>
            </w:r>
          </w:p>
        </w:tc>
        <w:tc>
          <w:tcPr>
            <w:tcW w:w="484" w:type="pct"/>
          </w:tcPr>
          <w:p w14:paraId="136D8FE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0.284</w:t>
            </w:r>
          </w:p>
        </w:tc>
      </w:tr>
      <w:tr w:rsidR="003E5B95" w:rsidRPr="00EA6A87" w14:paraId="272E6F63"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7F176E1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 x NEG</w:t>
            </w:r>
          </w:p>
        </w:tc>
        <w:tc>
          <w:tcPr>
            <w:tcW w:w="789" w:type="pct"/>
            <w:tcBorders>
              <w:left w:val="single" w:sz="4" w:space="0" w:color="auto"/>
            </w:tcBorders>
            <w:noWrap/>
          </w:tcPr>
          <w:p w14:paraId="40E89E5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370E3110"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367D100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76DC8E8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06546414"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-0.052</w:t>
            </w:r>
          </w:p>
        </w:tc>
        <w:tc>
          <w:tcPr>
            <w:tcW w:w="484" w:type="pct"/>
          </w:tcPr>
          <w:p w14:paraId="6E900C22"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0.507</w:t>
            </w:r>
          </w:p>
        </w:tc>
      </w:tr>
      <w:tr w:rsidR="003E5B95" w:rsidRPr="00EA6A87" w14:paraId="010D4B87"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B73E65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FALSEPOS x OPEN</w:t>
            </w:r>
          </w:p>
        </w:tc>
        <w:tc>
          <w:tcPr>
            <w:tcW w:w="789" w:type="pct"/>
            <w:tcBorders>
              <w:left w:val="single" w:sz="4" w:space="0" w:color="auto"/>
            </w:tcBorders>
            <w:noWrap/>
          </w:tcPr>
          <w:p w14:paraId="68581BA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729A82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4252C9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112BCAA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580A854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-0.068</w:t>
            </w:r>
          </w:p>
        </w:tc>
        <w:tc>
          <w:tcPr>
            <w:tcW w:w="484" w:type="pct"/>
          </w:tcPr>
          <w:p w14:paraId="26A773AC"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0.419</w:t>
            </w:r>
          </w:p>
        </w:tc>
      </w:tr>
      <w:tr w:rsidR="003E5B95" w:rsidRPr="00EA6A87" w14:paraId="2505D798"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76173CCD"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 x EXT</w:t>
            </w:r>
          </w:p>
        </w:tc>
        <w:tc>
          <w:tcPr>
            <w:tcW w:w="789" w:type="pct"/>
            <w:tcBorders>
              <w:left w:val="single" w:sz="4" w:space="0" w:color="auto"/>
            </w:tcBorders>
            <w:noWrap/>
          </w:tcPr>
          <w:p w14:paraId="74847E9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9F9E88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235A9CB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663B2D9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0750BF2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-0.126</w:t>
            </w:r>
          </w:p>
        </w:tc>
        <w:tc>
          <w:tcPr>
            <w:tcW w:w="484" w:type="pct"/>
          </w:tcPr>
          <w:p w14:paraId="3FC288C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0.309</w:t>
            </w:r>
          </w:p>
        </w:tc>
      </w:tr>
      <w:tr w:rsidR="003E5B95" w:rsidRPr="00EA6A87" w14:paraId="58DD1411"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6C2C9684"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 x AGR</w:t>
            </w:r>
          </w:p>
        </w:tc>
        <w:tc>
          <w:tcPr>
            <w:tcW w:w="789" w:type="pct"/>
            <w:tcBorders>
              <w:left w:val="single" w:sz="4" w:space="0" w:color="auto"/>
            </w:tcBorders>
            <w:noWrap/>
          </w:tcPr>
          <w:p w14:paraId="05973DE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62F0C82"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25FF8A2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5764CDF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513E72F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0.219</w:t>
            </w:r>
          </w:p>
        </w:tc>
        <w:tc>
          <w:tcPr>
            <w:tcW w:w="484" w:type="pct"/>
          </w:tcPr>
          <w:p w14:paraId="63CD5FB2"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0.079</w:t>
            </w:r>
          </w:p>
        </w:tc>
      </w:tr>
      <w:tr w:rsidR="003E5B95" w:rsidRPr="00EA6A87" w14:paraId="29162820"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3457B94D"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 x CON</w:t>
            </w:r>
          </w:p>
        </w:tc>
        <w:tc>
          <w:tcPr>
            <w:tcW w:w="789" w:type="pct"/>
            <w:tcBorders>
              <w:left w:val="single" w:sz="4" w:space="0" w:color="auto"/>
            </w:tcBorders>
            <w:noWrap/>
          </w:tcPr>
          <w:p w14:paraId="246C92B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74465FB5"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4AD2970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0BF9573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77949B9E"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-0.094</w:t>
            </w:r>
          </w:p>
        </w:tc>
        <w:tc>
          <w:tcPr>
            <w:tcW w:w="484" w:type="pct"/>
          </w:tcPr>
          <w:p w14:paraId="1B230226"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0.369</w:t>
            </w:r>
          </w:p>
        </w:tc>
      </w:tr>
      <w:tr w:rsidR="003E5B95" w:rsidRPr="00EA6A87" w14:paraId="339868EC"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520E0F91"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 x NEG</w:t>
            </w:r>
          </w:p>
        </w:tc>
        <w:tc>
          <w:tcPr>
            <w:tcW w:w="789" w:type="pct"/>
            <w:tcBorders>
              <w:left w:val="single" w:sz="4" w:space="0" w:color="auto"/>
            </w:tcBorders>
            <w:noWrap/>
          </w:tcPr>
          <w:p w14:paraId="00781382"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19910FEF"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6D1D160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0FE2AD2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061864B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-0.046</w:t>
            </w:r>
          </w:p>
        </w:tc>
        <w:tc>
          <w:tcPr>
            <w:tcW w:w="484" w:type="pct"/>
          </w:tcPr>
          <w:p w14:paraId="70DB996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0.709</w:t>
            </w:r>
          </w:p>
        </w:tc>
      </w:tr>
      <w:tr w:rsidR="003E5B95" w:rsidRPr="00EA6A87" w14:paraId="62723174"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78FDE63F"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COMPLEX x OPEN</w:t>
            </w:r>
          </w:p>
        </w:tc>
        <w:tc>
          <w:tcPr>
            <w:tcW w:w="789" w:type="pct"/>
            <w:tcBorders>
              <w:left w:val="single" w:sz="4" w:space="0" w:color="auto"/>
            </w:tcBorders>
            <w:noWrap/>
          </w:tcPr>
          <w:p w14:paraId="3F76E7C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4FA6EF3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52352CE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5D09BFF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5A172DB7"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0.181</w:t>
            </w:r>
          </w:p>
        </w:tc>
        <w:tc>
          <w:tcPr>
            <w:tcW w:w="484" w:type="pct"/>
          </w:tcPr>
          <w:p w14:paraId="4641B965"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0.113</w:t>
            </w:r>
          </w:p>
        </w:tc>
      </w:tr>
      <w:tr w:rsidR="003E5B95" w:rsidRPr="00EA6A87" w14:paraId="4991C528"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51E0203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 x EXT</w:t>
            </w:r>
          </w:p>
        </w:tc>
        <w:tc>
          <w:tcPr>
            <w:tcW w:w="789" w:type="pct"/>
            <w:tcBorders>
              <w:left w:val="single" w:sz="4" w:space="0" w:color="auto"/>
            </w:tcBorders>
            <w:noWrap/>
          </w:tcPr>
          <w:p w14:paraId="1E406EC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8E6230E"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1FDB9F5D"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477D6D01"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1CB9E6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0.067</w:t>
            </w:r>
          </w:p>
        </w:tc>
        <w:tc>
          <w:tcPr>
            <w:tcW w:w="484" w:type="pct"/>
          </w:tcPr>
          <w:p w14:paraId="6B8788A3"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0.574</w:t>
            </w:r>
          </w:p>
        </w:tc>
      </w:tr>
      <w:tr w:rsidR="003E5B95" w:rsidRPr="00EA6A87" w14:paraId="66345A3F"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784577C1"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 x AGR</w:t>
            </w:r>
          </w:p>
        </w:tc>
        <w:tc>
          <w:tcPr>
            <w:tcW w:w="789" w:type="pct"/>
            <w:tcBorders>
              <w:left w:val="single" w:sz="4" w:space="0" w:color="auto"/>
            </w:tcBorders>
            <w:noWrap/>
          </w:tcPr>
          <w:p w14:paraId="1C101A5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p>
        </w:tc>
        <w:tc>
          <w:tcPr>
            <w:tcW w:w="488" w:type="pct"/>
            <w:noWrap/>
          </w:tcPr>
          <w:p w14:paraId="30CFD69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3069692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p>
        </w:tc>
        <w:tc>
          <w:tcPr>
            <w:tcW w:w="487" w:type="pct"/>
          </w:tcPr>
          <w:p w14:paraId="56F2E8E2"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p>
        </w:tc>
        <w:tc>
          <w:tcPr>
            <w:tcW w:w="789" w:type="pct"/>
          </w:tcPr>
          <w:p w14:paraId="3FDD1465"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-0.441</w:t>
            </w:r>
          </w:p>
        </w:tc>
        <w:tc>
          <w:tcPr>
            <w:tcW w:w="484" w:type="pct"/>
          </w:tcPr>
          <w:p w14:paraId="1F644EEB"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b/>
                <w:bCs/>
                <w:kern w:val="0"/>
                <w:sz w:val="18"/>
                <w:szCs w:val="18"/>
                <w:lang w:eastAsia="en-US"/>
              </w:rPr>
            </w:pPr>
            <w:r w:rsidRPr="008A5F45">
              <w:rPr>
                <w:rFonts w:eastAsia="Times New Roman" w:cs="Times New Roman"/>
                <w:b/>
                <w:bCs/>
                <w:kern w:val="0"/>
                <w:sz w:val="18"/>
                <w:szCs w:val="18"/>
                <w:lang w:eastAsia="en-US"/>
              </w:rPr>
              <w:t>0.001</w:t>
            </w:r>
          </w:p>
        </w:tc>
      </w:tr>
      <w:tr w:rsidR="003E5B95" w:rsidRPr="00EA6A87" w14:paraId="5734A9D1"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01770AAB"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 x CON</w:t>
            </w:r>
          </w:p>
        </w:tc>
        <w:tc>
          <w:tcPr>
            <w:tcW w:w="789" w:type="pct"/>
            <w:tcBorders>
              <w:left w:val="single" w:sz="4" w:space="0" w:color="auto"/>
            </w:tcBorders>
            <w:noWrap/>
          </w:tcPr>
          <w:p w14:paraId="4EE0E53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24C53C94"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3DB1CC6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Pr>
          <w:p w14:paraId="68FBBF65"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Pr>
          <w:p w14:paraId="1CEA6B12"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0.121</w:t>
            </w:r>
          </w:p>
        </w:tc>
        <w:tc>
          <w:tcPr>
            <w:tcW w:w="484" w:type="pct"/>
          </w:tcPr>
          <w:p w14:paraId="681A6229"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0.298</w:t>
            </w:r>
          </w:p>
        </w:tc>
      </w:tr>
      <w:tr w:rsidR="003E5B95" w:rsidRPr="00EA6A87" w14:paraId="13A2F059"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1174" w:type="pct"/>
            <w:tcBorders>
              <w:right w:val="single" w:sz="4" w:space="0" w:color="auto"/>
            </w:tcBorders>
            <w:hideMark/>
          </w:tcPr>
          <w:p w14:paraId="1A63987C"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 x NEG</w:t>
            </w:r>
          </w:p>
        </w:tc>
        <w:tc>
          <w:tcPr>
            <w:tcW w:w="789" w:type="pct"/>
            <w:tcBorders>
              <w:left w:val="single" w:sz="4" w:space="0" w:color="auto"/>
            </w:tcBorders>
            <w:noWrap/>
          </w:tcPr>
          <w:p w14:paraId="79DD938D"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8" w:type="pct"/>
            <w:noWrap/>
          </w:tcPr>
          <w:p w14:paraId="44728581"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7878744F"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487" w:type="pct"/>
          </w:tcPr>
          <w:p w14:paraId="401301B8"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p>
        </w:tc>
        <w:tc>
          <w:tcPr>
            <w:tcW w:w="789" w:type="pct"/>
          </w:tcPr>
          <w:p w14:paraId="3435D5F9"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0.186</w:t>
            </w:r>
          </w:p>
        </w:tc>
        <w:tc>
          <w:tcPr>
            <w:tcW w:w="484" w:type="pct"/>
          </w:tcPr>
          <w:p w14:paraId="105E7B0A" w14:textId="77777777" w:rsidR="003E5B95" w:rsidRPr="008A5F45"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0.091</w:t>
            </w:r>
          </w:p>
        </w:tc>
      </w:tr>
      <w:tr w:rsidR="003E5B95" w:rsidRPr="00EA6A87" w14:paraId="13576888"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1174" w:type="pct"/>
            <w:tcBorders>
              <w:bottom w:val="single" w:sz="4" w:space="0" w:color="auto"/>
              <w:right w:val="single" w:sz="4" w:space="0" w:color="auto"/>
            </w:tcBorders>
            <w:hideMark/>
          </w:tcPr>
          <w:p w14:paraId="6CEB4545" w14:textId="77777777" w:rsidR="003E5B95" w:rsidRPr="008A5F45" w:rsidRDefault="003E5B95" w:rsidP="003E5B95">
            <w:pPr>
              <w:keepNext/>
              <w:spacing w:line="240" w:lineRule="auto"/>
              <w:ind w:firstLine="0"/>
              <w:contextualSpacing w:val="0"/>
              <w:rPr>
                <w:rFonts w:eastAsia="Times New Roman" w:cs="Times New Roman"/>
                <w:b w:val="0"/>
                <w:bCs w:val="0"/>
                <w:kern w:val="0"/>
                <w:sz w:val="18"/>
                <w:szCs w:val="18"/>
                <w:lang w:eastAsia="en-US"/>
              </w:rPr>
            </w:pPr>
            <w:r w:rsidRPr="008A5F45">
              <w:rPr>
                <w:rFonts w:eastAsia="Times New Roman" w:cs="Times New Roman"/>
                <w:b w:val="0"/>
                <w:bCs w:val="0"/>
                <w:kern w:val="0"/>
                <w:sz w:val="18"/>
                <w:szCs w:val="18"/>
                <w:lang w:eastAsia="en-US"/>
              </w:rPr>
              <w:t>SECCLI x OPEN</w:t>
            </w:r>
          </w:p>
        </w:tc>
        <w:tc>
          <w:tcPr>
            <w:tcW w:w="789" w:type="pct"/>
            <w:tcBorders>
              <w:left w:val="single" w:sz="4" w:space="0" w:color="auto"/>
              <w:bottom w:val="single" w:sz="4" w:space="0" w:color="auto"/>
            </w:tcBorders>
            <w:noWrap/>
          </w:tcPr>
          <w:p w14:paraId="18CD5816"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8" w:type="pct"/>
            <w:tcBorders>
              <w:bottom w:val="single" w:sz="4" w:space="0" w:color="auto"/>
            </w:tcBorders>
            <w:noWrap/>
          </w:tcPr>
          <w:p w14:paraId="18B90CC0"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Borders>
              <w:bottom w:val="single" w:sz="4" w:space="0" w:color="auto"/>
            </w:tcBorders>
          </w:tcPr>
          <w:p w14:paraId="0E2AE38A"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487" w:type="pct"/>
            <w:tcBorders>
              <w:bottom w:val="single" w:sz="4" w:space="0" w:color="auto"/>
            </w:tcBorders>
          </w:tcPr>
          <w:p w14:paraId="1E67EB0B"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p>
        </w:tc>
        <w:tc>
          <w:tcPr>
            <w:tcW w:w="789" w:type="pct"/>
            <w:tcBorders>
              <w:bottom w:val="single" w:sz="4" w:space="0" w:color="auto"/>
            </w:tcBorders>
          </w:tcPr>
          <w:p w14:paraId="13B0CA88"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0.022</w:t>
            </w:r>
          </w:p>
        </w:tc>
        <w:tc>
          <w:tcPr>
            <w:tcW w:w="484" w:type="pct"/>
            <w:tcBorders>
              <w:bottom w:val="single" w:sz="4" w:space="0" w:color="auto"/>
            </w:tcBorders>
          </w:tcPr>
          <w:p w14:paraId="00568C77" w14:textId="77777777" w:rsidR="003E5B95" w:rsidRPr="008A5F45"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18"/>
                <w:szCs w:val="18"/>
                <w:lang w:eastAsia="en-US"/>
              </w:rPr>
            </w:pPr>
            <w:r w:rsidRPr="008A5F45">
              <w:rPr>
                <w:rFonts w:eastAsia="Times New Roman" w:cs="Times New Roman"/>
                <w:kern w:val="0"/>
                <w:sz w:val="18"/>
                <w:szCs w:val="18"/>
                <w:lang w:eastAsia="en-US"/>
              </w:rPr>
              <w:t>0.818</w:t>
            </w:r>
          </w:p>
        </w:tc>
      </w:tr>
    </w:tbl>
    <w:p w14:paraId="1B51DED6" w14:textId="77777777" w:rsidR="003E5B95" w:rsidRPr="006B1A52" w:rsidRDefault="003E5B95" w:rsidP="003E5B95">
      <w:pPr>
        <w:keepNext/>
        <w:spacing w:after="160" w:line="259" w:lineRule="auto"/>
        <w:ind w:firstLine="0"/>
        <w:contextualSpacing w:val="0"/>
        <w:rPr>
          <w:rFonts w:eastAsia="Times New Roman" w:cs="Times New Roman"/>
          <w:color w:val="000000"/>
          <w:kern w:val="0"/>
          <w:sz w:val="18"/>
          <w:szCs w:val="18"/>
          <w:lang w:eastAsia="en-US"/>
        </w:rPr>
      </w:pPr>
      <w:r w:rsidRPr="00CE6198">
        <w:rPr>
          <w:rFonts w:eastAsia="Times New Roman" w:cs="Times New Roman"/>
          <w:color w:val="000000"/>
          <w:kern w:val="0"/>
          <w:sz w:val="18"/>
          <w:szCs w:val="18"/>
          <w:lang w:eastAsia="en-US"/>
        </w:rPr>
        <w:t>Extraversion (EXT), Agreeableness (AGR), Conscientiousness (CON), Negative emotionality (NEG), Open-mindedness (OPEN), Usefulness (USE), Interoperability (INTEROP), False negative rate (FALSENEG), False positive rate (FALSEPOS), Complexity (COMPLEX), Security climate (SECCLI)</w:t>
      </w:r>
    </w:p>
    <w:p w14:paraId="2EDE66C8" w14:textId="77777777" w:rsidR="003E5B95" w:rsidRDefault="003E5B95" w:rsidP="003E5B95">
      <w:pPr>
        <w:pStyle w:val="Caption"/>
        <w:keepNext/>
        <w:spacing w:line="480" w:lineRule="auto"/>
        <w:rPr>
          <w:sz w:val="24"/>
          <w:szCs w:val="24"/>
        </w:rPr>
      </w:pPr>
      <w:bookmarkStart w:id="233" w:name="_Toc74074418"/>
      <w:r w:rsidRPr="00563F77">
        <w:rPr>
          <w:sz w:val="24"/>
          <w:szCs w:val="24"/>
        </w:rPr>
        <w:lastRenderedPageBreak/>
        <w:t xml:space="preserve">Table </w:t>
      </w:r>
      <w:r>
        <w:rPr>
          <w:sz w:val="24"/>
          <w:szCs w:val="24"/>
        </w:rPr>
        <w:t>4</w:t>
      </w:r>
    </w:p>
    <w:p w14:paraId="2519C4B3" w14:textId="77777777" w:rsidR="003E5B95" w:rsidRPr="00563F77" w:rsidRDefault="003E5B95" w:rsidP="003E5B95">
      <w:pPr>
        <w:pStyle w:val="Caption"/>
        <w:keepNext/>
        <w:spacing w:line="480" w:lineRule="auto"/>
        <w:rPr>
          <w:b w:val="0"/>
          <w:bCs/>
          <w:i/>
          <w:iCs w:val="0"/>
          <w:sz w:val="24"/>
          <w:szCs w:val="24"/>
        </w:rPr>
      </w:pPr>
      <w:r w:rsidRPr="00563F77">
        <w:rPr>
          <w:b w:val="0"/>
          <w:bCs/>
          <w:i/>
          <w:iCs w:val="0"/>
          <w:sz w:val="24"/>
          <w:szCs w:val="24"/>
        </w:rPr>
        <w:t>Model Summary</w:t>
      </w:r>
      <w:bookmarkEnd w:id="233"/>
    </w:p>
    <w:tbl>
      <w:tblPr>
        <w:tblStyle w:val="PlainTable4"/>
        <w:tblW w:w="5000" w:type="pct"/>
        <w:tblLook w:val="04A0" w:firstRow="1" w:lastRow="0" w:firstColumn="1" w:lastColumn="0" w:noHBand="0" w:noVBand="1"/>
      </w:tblPr>
      <w:tblGrid>
        <w:gridCol w:w="1872"/>
        <w:gridCol w:w="1872"/>
        <w:gridCol w:w="1872"/>
        <w:gridCol w:w="1872"/>
        <w:gridCol w:w="1872"/>
      </w:tblGrid>
      <w:tr w:rsidR="003E5B95" w:rsidRPr="00EA6A87" w14:paraId="48A9AB6B" w14:textId="77777777" w:rsidTr="003E5B9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00" w:type="pct"/>
            <w:tcBorders>
              <w:top w:val="single" w:sz="4" w:space="0" w:color="auto"/>
              <w:bottom w:val="single" w:sz="4" w:space="0" w:color="auto"/>
              <w:right w:val="single" w:sz="4" w:space="0" w:color="auto"/>
            </w:tcBorders>
            <w:hideMark/>
          </w:tcPr>
          <w:p w14:paraId="689BC9C9" w14:textId="77777777" w:rsidR="003E5B95" w:rsidRPr="008A6A6E" w:rsidRDefault="003E5B95" w:rsidP="003E5B95">
            <w:pPr>
              <w:keepNext/>
              <w:widowControl w:val="0"/>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Model</w:t>
            </w:r>
          </w:p>
        </w:tc>
        <w:tc>
          <w:tcPr>
            <w:tcW w:w="1000" w:type="pct"/>
            <w:tcBorders>
              <w:top w:val="single" w:sz="4" w:space="0" w:color="auto"/>
              <w:left w:val="single" w:sz="4" w:space="0" w:color="auto"/>
              <w:bottom w:val="single" w:sz="4" w:space="0" w:color="auto"/>
            </w:tcBorders>
            <w:hideMark/>
          </w:tcPr>
          <w:p w14:paraId="3B991E27" w14:textId="77777777" w:rsidR="003E5B95" w:rsidRPr="008A6A6E" w:rsidRDefault="003E5B95" w:rsidP="003E5B95">
            <w:pPr>
              <w:keepNext/>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R</w:t>
            </w:r>
          </w:p>
        </w:tc>
        <w:tc>
          <w:tcPr>
            <w:tcW w:w="1000" w:type="pct"/>
            <w:tcBorders>
              <w:top w:val="single" w:sz="4" w:space="0" w:color="auto"/>
              <w:bottom w:val="single" w:sz="4" w:space="0" w:color="auto"/>
            </w:tcBorders>
            <w:hideMark/>
          </w:tcPr>
          <w:p w14:paraId="7C269ADA" w14:textId="77777777" w:rsidR="003E5B95" w:rsidRPr="008A6A6E" w:rsidRDefault="003E5B95" w:rsidP="003E5B95">
            <w:pPr>
              <w:keepNext/>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R</w:t>
            </w:r>
            <w:r w:rsidRPr="008A6A6E">
              <w:rPr>
                <w:rFonts w:eastAsia="Times New Roman" w:cs="Times New Roman"/>
                <w:b w:val="0"/>
                <w:bCs w:val="0"/>
                <w:kern w:val="0"/>
                <w:szCs w:val="24"/>
                <w:vertAlign w:val="superscript"/>
                <w:lang w:eastAsia="en-US"/>
              </w:rPr>
              <w:t>2</w:t>
            </w:r>
          </w:p>
        </w:tc>
        <w:tc>
          <w:tcPr>
            <w:tcW w:w="1000" w:type="pct"/>
            <w:tcBorders>
              <w:top w:val="single" w:sz="4" w:space="0" w:color="auto"/>
              <w:bottom w:val="single" w:sz="4" w:space="0" w:color="auto"/>
            </w:tcBorders>
            <w:hideMark/>
          </w:tcPr>
          <w:p w14:paraId="700F917B" w14:textId="77777777" w:rsidR="003E5B95" w:rsidRPr="008A6A6E" w:rsidRDefault="003E5B95" w:rsidP="003E5B95">
            <w:pPr>
              <w:keepNext/>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Adjusted R</w:t>
            </w:r>
            <w:r w:rsidRPr="008A6A6E">
              <w:rPr>
                <w:rFonts w:eastAsia="Times New Roman" w:cs="Times New Roman"/>
                <w:b w:val="0"/>
                <w:bCs w:val="0"/>
                <w:kern w:val="0"/>
                <w:szCs w:val="24"/>
                <w:vertAlign w:val="superscript"/>
                <w:lang w:eastAsia="en-US"/>
              </w:rPr>
              <w:t>2</w:t>
            </w:r>
          </w:p>
        </w:tc>
        <w:tc>
          <w:tcPr>
            <w:tcW w:w="1000" w:type="pct"/>
            <w:tcBorders>
              <w:top w:val="single" w:sz="4" w:space="0" w:color="auto"/>
              <w:bottom w:val="single" w:sz="4" w:space="0" w:color="auto"/>
            </w:tcBorders>
            <w:hideMark/>
          </w:tcPr>
          <w:p w14:paraId="204D184B" w14:textId="77777777" w:rsidR="003E5B95" w:rsidRPr="008A6A6E" w:rsidRDefault="003E5B95" w:rsidP="003E5B95">
            <w:pPr>
              <w:keepNext/>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i/>
                <w:iCs/>
                <w:kern w:val="0"/>
                <w:szCs w:val="24"/>
                <w:lang w:eastAsia="en-US"/>
              </w:rPr>
              <w:t>p-</w:t>
            </w:r>
            <w:r w:rsidRPr="008A6A6E">
              <w:rPr>
                <w:rFonts w:eastAsia="Times New Roman" w:cs="Times New Roman"/>
                <w:b w:val="0"/>
                <w:bCs w:val="0"/>
                <w:kern w:val="0"/>
                <w:szCs w:val="24"/>
                <w:lang w:eastAsia="en-US"/>
              </w:rPr>
              <w:t>value</w:t>
            </w:r>
          </w:p>
        </w:tc>
      </w:tr>
      <w:tr w:rsidR="003E5B95" w:rsidRPr="00EA6A87" w14:paraId="0082E36A"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00" w:type="pct"/>
            <w:tcBorders>
              <w:top w:val="single" w:sz="4" w:space="0" w:color="auto"/>
              <w:right w:val="single" w:sz="4" w:space="0" w:color="auto"/>
            </w:tcBorders>
            <w:noWrap/>
            <w:hideMark/>
          </w:tcPr>
          <w:p w14:paraId="30220E39" w14:textId="77777777" w:rsidR="003E5B95" w:rsidRPr="008A6A6E" w:rsidRDefault="003E5B95" w:rsidP="003E5B95">
            <w:pPr>
              <w:keepNext/>
              <w:widowControl w:val="0"/>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w:t>
            </w:r>
          </w:p>
        </w:tc>
        <w:tc>
          <w:tcPr>
            <w:tcW w:w="1000" w:type="pct"/>
            <w:tcBorders>
              <w:top w:val="single" w:sz="4" w:space="0" w:color="auto"/>
              <w:left w:val="single" w:sz="4" w:space="0" w:color="auto"/>
            </w:tcBorders>
            <w:noWrap/>
            <w:hideMark/>
          </w:tcPr>
          <w:p w14:paraId="25887F32"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0.119</w:t>
            </w:r>
          </w:p>
        </w:tc>
        <w:tc>
          <w:tcPr>
            <w:tcW w:w="1000" w:type="pct"/>
            <w:tcBorders>
              <w:top w:val="single" w:sz="4" w:space="0" w:color="auto"/>
            </w:tcBorders>
            <w:noWrap/>
            <w:hideMark/>
          </w:tcPr>
          <w:p w14:paraId="00845684"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0.014</w:t>
            </w:r>
          </w:p>
        </w:tc>
        <w:tc>
          <w:tcPr>
            <w:tcW w:w="1000" w:type="pct"/>
            <w:tcBorders>
              <w:top w:val="single" w:sz="4" w:space="0" w:color="auto"/>
            </w:tcBorders>
            <w:noWrap/>
            <w:hideMark/>
          </w:tcPr>
          <w:p w14:paraId="6FF7C604"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-0.005</w:t>
            </w:r>
          </w:p>
        </w:tc>
        <w:tc>
          <w:tcPr>
            <w:tcW w:w="1000" w:type="pct"/>
            <w:tcBorders>
              <w:top w:val="single" w:sz="4" w:space="0" w:color="auto"/>
            </w:tcBorders>
            <w:noWrap/>
            <w:hideMark/>
          </w:tcPr>
          <w:p w14:paraId="0F746CE9"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0.584</w:t>
            </w:r>
          </w:p>
        </w:tc>
      </w:tr>
      <w:tr w:rsidR="003E5B95" w:rsidRPr="00EA6A87" w14:paraId="26978773"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1000" w:type="pct"/>
            <w:tcBorders>
              <w:right w:val="single" w:sz="4" w:space="0" w:color="auto"/>
            </w:tcBorders>
            <w:noWrap/>
            <w:hideMark/>
          </w:tcPr>
          <w:p w14:paraId="385B18E6" w14:textId="77777777" w:rsidR="003E5B95" w:rsidRPr="008A6A6E" w:rsidRDefault="003E5B95" w:rsidP="003E5B95">
            <w:pPr>
              <w:keepNext/>
              <w:widowControl w:val="0"/>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2</w:t>
            </w:r>
          </w:p>
        </w:tc>
        <w:tc>
          <w:tcPr>
            <w:tcW w:w="1000" w:type="pct"/>
            <w:tcBorders>
              <w:left w:val="single" w:sz="4" w:space="0" w:color="auto"/>
            </w:tcBorders>
            <w:noWrap/>
            <w:hideMark/>
          </w:tcPr>
          <w:p w14:paraId="19D6FCA9" w14:textId="77777777" w:rsidR="003E5B95" w:rsidRPr="008A6A6E" w:rsidRDefault="003E5B95" w:rsidP="003E5B95">
            <w:pPr>
              <w:keepNext/>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0.566</w:t>
            </w:r>
          </w:p>
        </w:tc>
        <w:tc>
          <w:tcPr>
            <w:tcW w:w="1000" w:type="pct"/>
            <w:noWrap/>
            <w:hideMark/>
          </w:tcPr>
          <w:p w14:paraId="67A79AD0" w14:textId="77777777" w:rsidR="003E5B95" w:rsidRPr="008A6A6E" w:rsidRDefault="003E5B95" w:rsidP="003E5B95">
            <w:pPr>
              <w:keepNext/>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0.320</w:t>
            </w:r>
          </w:p>
        </w:tc>
        <w:tc>
          <w:tcPr>
            <w:tcW w:w="1000" w:type="pct"/>
            <w:noWrap/>
            <w:hideMark/>
          </w:tcPr>
          <w:p w14:paraId="23EAF8FA" w14:textId="77777777" w:rsidR="003E5B95" w:rsidRPr="008A6A6E" w:rsidRDefault="003E5B95" w:rsidP="003E5B95">
            <w:pPr>
              <w:keepNext/>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0.277</w:t>
            </w:r>
          </w:p>
        </w:tc>
        <w:tc>
          <w:tcPr>
            <w:tcW w:w="1000" w:type="pct"/>
            <w:noWrap/>
            <w:hideMark/>
          </w:tcPr>
          <w:p w14:paraId="085E5961" w14:textId="77777777" w:rsidR="003E5B95" w:rsidRPr="008A6A6E" w:rsidRDefault="003E5B95" w:rsidP="003E5B95">
            <w:pPr>
              <w:keepNext/>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0.000</w:t>
            </w:r>
          </w:p>
        </w:tc>
      </w:tr>
      <w:tr w:rsidR="003E5B95" w:rsidRPr="00EA6A87" w14:paraId="4102DDB3"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1000" w:type="pct"/>
            <w:tcBorders>
              <w:bottom w:val="single" w:sz="4" w:space="0" w:color="auto"/>
              <w:right w:val="single" w:sz="4" w:space="0" w:color="auto"/>
            </w:tcBorders>
            <w:noWrap/>
            <w:hideMark/>
          </w:tcPr>
          <w:p w14:paraId="1E341CDF" w14:textId="77777777" w:rsidR="003E5B95" w:rsidRPr="008A6A6E" w:rsidRDefault="003E5B95" w:rsidP="003E5B95">
            <w:pPr>
              <w:keepNext/>
              <w:widowControl w:val="0"/>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3</w:t>
            </w:r>
          </w:p>
        </w:tc>
        <w:tc>
          <w:tcPr>
            <w:tcW w:w="1000" w:type="pct"/>
            <w:tcBorders>
              <w:left w:val="single" w:sz="4" w:space="0" w:color="auto"/>
              <w:bottom w:val="single" w:sz="4" w:space="0" w:color="auto"/>
            </w:tcBorders>
            <w:noWrap/>
            <w:hideMark/>
          </w:tcPr>
          <w:p w14:paraId="50446589"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0.687</w:t>
            </w:r>
          </w:p>
        </w:tc>
        <w:tc>
          <w:tcPr>
            <w:tcW w:w="1000" w:type="pct"/>
            <w:tcBorders>
              <w:bottom w:val="single" w:sz="4" w:space="0" w:color="auto"/>
            </w:tcBorders>
            <w:noWrap/>
            <w:hideMark/>
          </w:tcPr>
          <w:p w14:paraId="6AF82065"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0.471</w:t>
            </w:r>
          </w:p>
        </w:tc>
        <w:tc>
          <w:tcPr>
            <w:tcW w:w="1000" w:type="pct"/>
            <w:tcBorders>
              <w:bottom w:val="single" w:sz="4" w:space="0" w:color="auto"/>
            </w:tcBorders>
            <w:noWrap/>
            <w:hideMark/>
          </w:tcPr>
          <w:p w14:paraId="4BFFA48C"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0.361</w:t>
            </w:r>
          </w:p>
        </w:tc>
        <w:tc>
          <w:tcPr>
            <w:tcW w:w="1000" w:type="pct"/>
            <w:tcBorders>
              <w:bottom w:val="single" w:sz="4" w:space="0" w:color="auto"/>
            </w:tcBorders>
            <w:noWrap/>
            <w:hideMark/>
          </w:tcPr>
          <w:p w14:paraId="29587164" w14:textId="77777777" w:rsidR="003E5B95" w:rsidRPr="008A6A6E" w:rsidRDefault="003E5B95" w:rsidP="003E5B95">
            <w:pPr>
              <w:keepNext/>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0.001</w:t>
            </w:r>
          </w:p>
        </w:tc>
      </w:tr>
    </w:tbl>
    <w:p w14:paraId="25FFE3BC" w14:textId="77777777" w:rsidR="003E5B95" w:rsidRDefault="003E5B95" w:rsidP="003E5B95">
      <w:pPr>
        <w:pStyle w:val="Caption"/>
        <w:keepNext/>
      </w:pPr>
    </w:p>
    <w:p w14:paraId="64D0769D" w14:textId="77777777" w:rsidR="003E5B95" w:rsidRPr="00563F77"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effect sizes of the hypothesized relationships are shown in </w:t>
      </w:r>
      <w:r w:rsidRPr="00563F77">
        <w:rPr>
          <w:rFonts w:cs="Times New Roman"/>
          <w:kern w:val="0"/>
          <w:szCs w:val="24"/>
          <w:lang w:eastAsia="en-US"/>
        </w:rPr>
        <w:t xml:space="preserve">Table </w:t>
      </w:r>
      <w:r>
        <w:rPr>
          <w:rFonts w:cs="Times New Roman"/>
          <w:kern w:val="0"/>
          <w:szCs w:val="24"/>
          <w:lang w:eastAsia="en-US"/>
        </w:rPr>
        <w:t>5</w:t>
      </w:r>
      <w:r w:rsidRPr="00563F77">
        <w:rPr>
          <w:rFonts w:cs="Times New Roman"/>
          <w:kern w:val="0"/>
          <w:szCs w:val="24"/>
          <w:lang w:eastAsia="en-US"/>
        </w:rPr>
        <w:t>,</w:t>
      </w:r>
      <w:r w:rsidRPr="00AC29E4">
        <w:rPr>
          <w:rFonts w:cs="Times New Roman"/>
          <w:kern w:val="0"/>
          <w:szCs w:val="24"/>
          <w:lang w:eastAsia="en-US"/>
        </w:rPr>
        <w:t xml:space="preserve"> which are based on the computation of local effect size as Cohen’s </w:t>
      </w:r>
      <w:r w:rsidRPr="00AC29E4">
        <w:rPr>
          <w:rFonts w:cs="Times New Roman"/>
          <w:i/>
          <w:iCs/>
          <w:kern w:val="0"/>
          <w:szCs w:val="24"/>
          <w:lang w:eastAsia="en-US"/>
        </w:rPr>
        <w:t>f</w:t>
      </w:r>
      <w:r w:rsidRPr="00AC29E4">
        <w:rPr>
          <w:rFonts w:cs="Times New Roman"/>
          <w:i/>
          <w:iCs/>
          <w:kern w:val="0"/>
          <w:szCs w:val="24"/>
          <w:vertAlign w:val="superscript"/>
          <w:lang w:eastAsia="en-US"/>
        </w:rPr>
        <w:t>2</w:t>
      </w:r>
      <w:r w:rsidRPr="00AC29E4">
        <w:rPr>
          <w:rFonts w:cs="Times New Roman"/>
          <w:kern w:val="0"/>
          <w:szCs w:val="24"/>
          <w:lang w:eastAsia="en-US"/>
        </w:rPr>
        <w:t xml:space="preserve">. Interpretation of the effect size in the current research is based on Cohen’s (1988) guidelines, where </w:t>
      </w:r>
      <w:r w:rsidRPr="00AC29E4">
        <w:rPr>
          <w:rFonts w:cs="Times New Roman"/>
          <w:i/>
          <w:iCs/>
          <w:kern w:val="0"/>
          <w:szCs w:val="24"/>
          <w:lang w:eastAsia="en-US"/>
        </w:rPr>
        <w:t>f</w:t>
      </w:r>
      <w:r w:rsidRPr="00AC29E4">
        <w:rPr>
          <w:rFonts w:cs="Times New Roman"/>
          <w:i/>
          <w:iCs/>
          <w:kern w:val="0"/>
          <w:szCs w:val="24"/>
          <w:vertAlign w:val="superscript"/>
          <w:lang w:eastAsia="en-US"/>
        </w:rPr>
        <w:t>2</w:t>
      </w:r>
      <w:r w:rsidRPr="00AC29E4">
        <w:rPr>
          <w:rFonts w:cs="Times New Roman"/>
          <w:i/>
          <w:iCs/>
          <w:kern w:val="0"/>
          <w:szCs w:val="24"/>
          <w:lang w:eastAsia="en-US"/>
        </w:rPr>
        <w:t xml:space="preserve"> </w:t>
      </w:r>
      <w:r w:rsidRPr="00AC29E4">
        <w:rPr>
          <w:rFonts w:cs="Times New Roman"/>
          <w:kern w:val="0"/>
          <w:szCs w:val="24"/>
          <w:lang w:eastAsia="en-US"/>
        </w:rPr>
        <w:t xml:space="preserve">as ≥ 0.02, </w:t>
      </w:r>
      <w:r w:rsidRPr="00AC29E4">
        <w:rPr>
          <w:rFonts w:cs="Times New Roman"/>
          <w:i/>
          <w:iCs/>
          <w:kern w:val="0"/>
          <w:szCs w:val="24"/>
          <w:lang w:eastAsia="en-US"/>
        </w:rPr>
        <w:t>f</w:t>
      </w:r>
      <w:r w:rsidRPr="00AC29E4">
        <w:rPr>
          <w:rFonts w:cs="Times New Roman"/>
          <w:i/>
          <w:iCs/>
          <w:kern w:val="0"/>
          <w:szCs w:val="24"/>
          <w:vertAlign w:val="superscript"/>
          <w:lang w:eastAsia="en-US"/>
        </w:rPr>
        <w:t>2</w:t>
      </w:r>
      <w:r w:rsidRPr="00AC29E4">
        <w:rPr>
          <w:rFonts w:cs="Times New Roman"/>
          <w:i/>
          <w:iCs/>
          <w:kern w:val="0"/>
          <w:szCs w:val="24"/>
          <w:lang w:eastAsia="en-US"/>
        </w:rPr>
        <w:t xml:space="preserve"> </w:t>
      </w:r>
      <w:r w:rsidRPr="00AC29E4">
        <w:rPr>
          <w:rFonts w:cs="Times New Roman"/>
          <w:kern w:val="0"/>
          <w:szCs w:val="24"/>
          <w:lang w:eastAsia="en-US"/>
        </w:rPr>
        <w:t xml:space="preserve">as ≥ 0.15, and </w:t>
      </w:r>
      <w:r w:rsidRPr="00AC29E4">
        <w:rPr>
          <w:rFonts w:cs="Times New Roman"/>
          <w:i/>
          <w:iCs/>
          <w:kern w:val="0"/>
          <w:szCs w:val="24"/>
          <w:lang w:eastAsia="en-US"/>
        </w:rPr>
        <w:t>f</w:t>
      </w:r>
      <w:r w:rsidRPr="00AC29E4">
        <w:rPr>
          <w:rFonts w:cs="Times New Roman"/>
          <w:i/>
          <w:iCs/>
          <w:kern w:val="0"/>
          <w:szCs w:val="24"/>
          <w:vertAlign w:val="superscript"/>
          <w:lang w:eastAsia="en-US"/>
        </w:rPr>
        <w:t>2</w:t>
      </w:r>
      <w:r w:rsidRPr="00AC29E4">
        <w:rPr>
          <w:rFonts w:cs="Times New Roman"/>
          <w:i/>
          <w:iCs/>
          <w:kern w:val="0"/>
          <w:szCs w:val="24"/>
          <w:lang w:eastAsia="en-US"/>
        </w:rPr>
        <w:t xml:space="preserve"> </w:t>
      </w:r>
      <w:r w:rsidRPr="00AC29E4">
        <w:rPr>
          <w:rFonts w:cs="Times New Roman"/>
          <w:kern w:val="0"/>
          <w:szCs w:val="24"/>
          <w:lang w:eastAsia="en-US"/>
        </w:rPr>
        <w:t xml:space="preserve">as ≥ 0.35 represent small, medium, and large effect sizes, respectively. </w:t>
      </w:r>
    </w:p>
    <w:p w14:paraId="2C6364A4" w14:textId="77777777" w:rsidR="003E5B95" w:rsidRDefault="003E5B95" w:rsidP="003E5B95">
      <w:pPr>
        <w:pStyle w:val="Caption"/>
        <w:keepNext/>
        <w:spacing w:line="480" w:lineRule="auto"/>
        <w:rPr>
          <w:sz w:val="24"/>
          <w:szCs w:val="24"/>
        </w:rPr>
      </w:pPr>
      <w:bookmarkStart w:id="234" w:name="_Toc74074419"/>
      <w:r w:rsidRPr="00563F77">
        <w:rPr>
          <w:sz w:val="24"/>
          <w:szCs w:val="24"/>
        </w:rPr>
        <w:t xml:space="preserve">Table </w:t>
      </w:r>
      <w:r>
        <w:rPr>
          <w:sz w:val="24"/>
          <w:szCs w:val="24"/>
        </w:rPr>
        <w:t>5</w:t>
      </w:r>
      <w:r w:rsidRPr="00563F77">
        <w:rPr>
          <w:sz w:val="24"/>
          <w:szCs w:val="24"/>
        </w:rPr>
        <w:t xml:space="preserve"> </w:t>
      </w:r>
    </w:p>
    <w:p w14:paraId="7C18A7DD" w14:textId="77777777" w:rsidR="003E5B95" w:rsidRPr="00563F77" w:rsidRDefault="003E5B95" w:rsidP="003E5B95">
      <w:pPr>
        <w:pStyle w:val="Caption"/>
        <w:keepNext/>
        <w:spacing w:line="480" w:lineRule="auto"/>
        <w:rPr>
          <w:sz w:val="24"/>
          <w:szCs w:val="24"/>
        </w:rPr>
      </w:pPr>
      <w:r w:rsidRPr="00563F77">
        <w:rPr>
          <w:b w:val="0"/>
          <w:bCs/>
          <w:i/>
          <w:iCs w:val="0"/>
          <w:sz w:val="24"/>
          <w:szCs w:val="24"/>
        </w:rPr>
        <w:t>Hypothesis Support and Effect Size</w:t>
      </w:r>
      <w:bookmarkEnd w:id="234"/>
    </w:p>
    <w:tbl>
      <w:tblPr>
        <w:tblStyle w:val="PlainTable4"/>
        <w:tblW w:w="5000" w:type="pct"/>
        <w:tblLook w:val="04A0" w:firstRow="1" w:lastRow="0" w:firstColumn="1" w:lastColumn="0" w:noHBand="0" w:noVBand="1"/>
      </w:tblPr>
      <w:tblGrid>
        <w:gridCol w:w="4194"/>
        <w:gridCol w:w="1807"/>
        <w:gridCol w:w="1836"/>
        <w:gridCol w:w="1523"/>
      </w:tblGrid>
      <w:tr w:rsidR="003E5B95" w:rsidRPr="00EA6A87" w14:paraId="2320CA2C" w14:textId="77777777" w:rsidTr="003E5B95">
        <w:trPr>
          <w:cnfStyle w:val="100000000000" w:firstRow="1" w:lastRow="0" w:firstColumn="0" w:lastColumn="0" w:oddVBand="0" w:evenVBand="0" w:oddHBand="0"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top w:val="single" w:sz="4" w:space="0" w:color="auto"/>
              <w:bottom w:val="single" w:sz="4" w:space="0" w:color="auto"/>
              <w:right w:val="single" w:sz="4" w:space="0" w:color="auto"/>
            </w:tcBorders>
            <w:hideMark/>
          </w:tcPr>
          <w:p w14:paraId="58ECC3A4"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Hypothesis</w:t>
            </w:r>
          </w:p>
        </w:tc>
        <w:tc>
          <w:tcPr>
            <w:tcW w:w="985" w:type="pct"/>
            <w:tcBorders>
              <w:top w:val="single" w:sz="4" w:space="0" w:color="auto"/>
              <w:left w:val="single" w:sz="4" w:space="0" w:color="auto"/>
              <w:bottom w:val="single" w:sz="4" w:space="0" w:color="auto"/>
            </w:tcBorders>
            <w:hideMark/>
          </w:tcPr>
          <w:p w14:paraId="0E1A5C3F"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Support</w:t>
            </w:r>
          </w:p>
        </w:tc>
        <w:tc>
          <w:tcPr>
            <w:tcW w:w="1000" w:type="pct"/>
            <w:tcBorders>
              <w:top w:val="single" w:sz="4" w:space="0" w:color="auto"/>
              <w:bottom w:val="single" w:sz="4" w:space="0" w:color="auto"/>
            </w:tcBorders>
            <w:hideMark/>
          </w:tcPr>
          <w:p w14:paraId="2451A56B"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Effect Size (Cohen’s </w:t>
            </w:r>
            <w:r w:rsidRPr="008A6A6E">
              <w:rPr>
                <w:rFonts w:eastAsia="Times New Roman" w:cs="Times New Roman"/>
                <w:b w:val="0"/>
                <w:bCs w:val="0"/>
                <w:i/>
                <w:iCs/>
                <w:color w:val="000000"/>
                <w:kern w:val="0"/>
                <w:szCs w:val="24"/>
                <w:lang w:eastAsia="en-US"/>
              </w:rPr>
              <w:t>f</w:t>
            </w:r>
            <w:r w:rsidRPr="008A6A6E">
              <w:rPr>
                <w:rFonts w:eastAsia="Times New Roman" w:cs="Times New Roman"/>
                <w:b w:val="0"/>
                <w:bCs w:val="0"/>
                <w:i/>
                <w:iCs/>
                <w:color w:val="000000"/>
                <w:kern w:val="0"/>
                <w:szCs w:val="24"/>
                <w:vertAlign w:val="superscript"/>
                <w:lang w:eastAsia="en-US"/>
              </w:rPr>
              <w:t>2</w:t>
            </w:r>
            <w:r w:rsidRPr="008A6A6E">
              <w:rPr>
                <w:rFonts w:eastAsia="Times New Roman" w:cs="Times New Roman"/>
                <w:b w:val="0"/>
                <w:bCs w:val="0"/>
                <w:color w:val="000000"/>
                <w:kern w:val="0"/>
                <w:szCs w:val="24"/>
                <w:lang w:eastAsia="en-US"/>
              </w:rPr>
              <w:t>)</w:t>
            </w:r>
          </w:p>
        </w:tc>
        <w:tc>
          <w:tcPr>
            <w:tcW w:w="755" w:type="pct"/>
            <w:tcBorders>
              <w:top w:val="single" w:sz="4" w:space="0" w:color="auto"/>
              <w:bottom w:val="single" w:sz="4" w:space="0" w:color="auto"/>
            </w:tcBorders>
            <w:hideMark/>
          </w:tcPr>
          <w:p w14:paraId="6B43CD1D"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Effect Size Interpretation</w:t>
            </w:r>
          </w:p>
        </w:tc>
      </w:tr>
      <w:tr w:rsidR="003E5B95" w:rsidRPr="00EA6A87" w14:paraId="0524362B"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top w:val="single" w:sz="4" w:space="0" w:color="auto"/>
              <w:right w:val="single" w:sz="4" w:space="0" w:color="auto"/>
            </w:tcBorders>
            <w:hideMark/>
          </w:tcPr>
          <w:p w14:paraId="3BF8BE8B"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Stage I</w:t>
            </w:r>
          </w:p>
        </w:tc>
        <w:tc>
          <w:tcPr>
            <w:tcW w:w="985" w:type="pct"/>
            <w:tcBorders>
              <w:top w:val="single" w:sz="4" w:space="0" w:color="auto"/>
              <w:left w:val="single" w:sz="4" w:space="0" w:color="auto"/>
            </w:tcBorders>
            <w:hideMark/>
          </w:tcPr>
          <w:p w14:paraId="50B2BC0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1000" w:type="pct"/>
            <w:tcBorders>
              <w:top w:val="single" w:sz="4" w:space="0" w:color="auto"/>
            </w:tcBorders>
            <w:hideMark/>
          </w:tcPr>
          <w:p w14:paraId="73E52B9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755" w:type="pct"/>
            <w:tcBorders>
              <w:top w:val="single" w:sz="4" w:space="0" w:color="auto"/>
            </w:tcBorders>
            <w:hideMark/>
          </w:tcPr>
          <w:p w14:paraId="39C63D2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EA6A87" w14:paraId="5FDD33C3"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593EC9EA"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H1a: USE→ REL</w:t>
            </w:r>
          </w:p>
        </w:tc>
        <w:tc>
          <w:tcPr>
            <w:tcW w:w="985" w:type="pct"/>
            <w:tcBorders>
              <w:left w:val="single" w:sz="4" w:space="0" w:color="auto"/>
            </w:tcBorders>
            <w:hideMark/>
          </w:tcPr>
          <w:p w14:paraId="58D4FBF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000" w:type="pct"/>
            <w:hideMark/>
          </w:tcPr>
          <w:p w14:paraId="7DD3D48D"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0.021</w:t>
            </w:r>
          </w:p>
        </w:tc>
        <w:tc>
          <w:tcPr>
            <w:tcW w:w="755" w:type="pct"/>
            <w:hideMark/>
          </w:tcPr>
          <w:p w14:paraId="428E158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Small</w:t>
            </w:r>
          </w:p>
        </w:tc>
      </w:tr>
      <w:tr w:rsidR="003E5B95" w:rsidRPr="00EA6A87" w14:paraId="52F5620D"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44179782"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H1b: INTEROP→ REL</w:t>
            </w:r>
          </w:p>
        </w:tc>
        <w:tc>
          <w:tcPr>
            <w:tcW w:w="985" w:type="pct"/>
            <w:tcBorders>
              <w:left w:val="single" w:sz="4" w:space="0" w:color="auto"/>
            </w:tcBorders>
            <w:hideMark/>
          </w:tcPr>
          <w:p w14:paraId="581C1DA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000" w:type="pct"/>
            <w:hideMark/>
          </w:tcPr>
          <w:p w14:paraId="49A9ADA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0.019</w:t>
            </w:r>
          </w:p>
        </w:tc>
        <w:tc>
          <w:tcPr>
            <w:tcW w:w="755" w:type="pct"/>
            <w:hideMark/>
          </w:tcPr>
          <w:p w14:paraId="0D78161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Small</w:t>
            </w:r>
          </w:p>
        </w:tc>
      </w:tr>
      <w:tr w:rsidR="003E5B95" w:rsidRPr="00EA6A87" w14:paraId="7BF784FF"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2ABF6ECE"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H1c: FALSENEG→ REL</w:t>
            </w:r>
          </w:p>
        </w:tc>
        <w:tc>
          <w:tcPr>
            <w:tcW w:w="985" w:type="pct"/>
            <w:tcBorders>
              <w:left w:val="single" w:sz="4" w:space="0" w:color="auto"/>
            </w:tcBorders>
            <w:hideMark/>
          </w:tcPr>
          <w:p w14:paraId="0D0AA5C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Not supported </w:t>
            </w:r>
          </w:p>
        </w:tc>
        <w:tc>
          <w:tcPr>
            <w:tcW w:w="1000" w:type="pct"/>
            <w:hideMark/>
          </w:tcPr>
          <w:p w14:paraId="6C85E3E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0.013</w:t>
            </w:r>
          </w:p>
        </w:tc>
        <w:tc>
          <w:tcPr>
            <w:tcW w:w="755" w:type="pct"/>
            <w:hideMark/>
          </w:tcPr>
          <w:p w14:paraId="678532B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Small</w:t>
            </w:r>
          </w:p>
        </w:tc>
      </w:tr>
      <w:tr w:rsidR="003E5B95" w:rsidRPr="00EA6A87" w14:paraId="167FEB81"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61B627C4"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H1d: FALSEPOS→ REL</w:t>
            </w:r>
          </w:p>
        </w:tc>
        <w:tc>
          <w:tcPr>
            <w:tcW w:w="985" w:type="pct"/>
            <w:tcBorders>
              <w:left w:val="single" w:sz="4" w:space="0" w:color="auto"/>
            </w:tcBorders>
            <w:hideMark/>
          </w:tcPr>
          <w:p w14:paraId="2420713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000" w:type="pct"/>
            <w:hideMark/>
          </w:tcPr>
          <w:p w14:paraId="0BA4B4E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0.118</w:t>
            </w:r>
          </w:p>
        </w:tc>
        <w:tc>
          <w:tcPr>
            <w:tcW w:w="755" w:type="pct"/>
            <w:hideMark/>
          </w:tcPr>
          <w:p w14:paraId="48BD0544"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Medium</w:t>
            </w:r>
          </w:p>
        </w:tc>
      </w:tr>
      <w:tr w:rsidR="003E5B95" w:rsidRPr="00EA6A87" w14:paraId="5783F3C2"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447A799F"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H1e: COMPLEX→ REL</w:t>
            </w:r>
          </w:p>
        </w:tc>
        <w:tc>
          <w:tcPr>
            <w:tcW w:w="985" w:type="pct"/>
            <w:tcBorders>
              <w:left w:val="single" w:sz="4" w:space="0" w:color="auto"/>
            </w:tcBorders>
            <w:hideMark/>
          </w:tcPr>
          <w:p w14:paraId="2998A6B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Not supported </w:t>
            </w:r>
          </w:p>
        </w:tc>
        <w:tc>
          <w:tcPr>
            <w:tcW w:w="1000" w:type="pct"/>
            <w:hideMark/>
          </w:tcPr>
          <w:p w14:paraId="6040D88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0.003</w:t>
            </w:r>
          </w:p>
        </w:tc>
        <w:tc>
          <w:tcPr>
            <w:tcW w:w="755" w:type="pct"/>
            <w:hideMark/>
          </w:tcPr>
          <w:p w14:paraId="32BEA9C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Negligible</w:t>
            </w:r>
          </w:p>
        </w:tc>
      </w:tr>
      <w:tr w:rsidR="003E5B95" w:rsidRPr="00EA6A87" w14:paraId="3800C00C"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7C2B49B7"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H2: SECCLI→REL</w:t>
            </w:r>
          </w:p>
        </w:tc>
        <w:tc>
          <w:tcPr>
            <w:tcW w:w="985" w:type="pct"/>
            <w:tcBorders>
              <w:left w:val="single" w:sz="4" w:space="0" w:color="auto"/>
            </w:tcBorders>
            <w:hideMark/>
          </w:tcPr>
          <w:p w14:paraId="23B7F56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Not supported </w:t>
            </w:r>
          </w:p>
        </w:tc>
        <w:tc>
          <w:tcPr>
            <w:tcW w:w="1000" w:type="pct"/>
            <w:hideMark/>
          </w:tcPr>
          <w:p w14:paraId="634F51DA"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0.001</w:t>
            </w:r>
          </w:p>
        </w:tc>
        <w:tc>
          <w:tcPr>
            <w:tcW w:w="755" w:type="pct"/>
            <w:hideMark/>
          </w:tcPr>
          <w:p w14:paraId="750410A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Negligible</w:t>
            </w:r>
          </w:p>
        </w:tc>
      </w:tr>
      <w:tr w:rsidR="003E5B95" w:rsidRPr="00EA6A87" w14:paraId="6351D1AA"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2260" w:type="pct"/>
            <w:tcBorders>
              <w:right w:val="single" w:sz="4" w:space="0" w:color="auto"/>
            </w:tcBorders>
            <w:hideMark/>
          </w:tcPr>
          <w:p w14:paraId="0FD4684D"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H3a: EMS characteristics x Personality → REL </w:t>
            </w:r>
          </w:p>
        </w:tc>
        <w:tc>
          <w:tcPr>
            <w:tcW w:w="985" w:type="pct"/>
            <w:tcBorders>
              <w:left w:val="single" w:sz="4" w:space="0" w:color="auto"/>
            </w:tcBorders>
            <w:noWrap/>
            <w:hideMark/>
          </w:tcPr>
          <w:p w14:paraId="62B2009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Partial Support</w:t>
            </w:r>
          </w:p>
        </w:tc>
        <w:tc>
          <w:tcPr>
            <w:tcW w:w="1000" w:type="pct"/>
            <w:vMerge w:val="restart"/>
            <w:noWrap/>
            <w:hideMark/>
          </w:tcPr>
          <w:p w14:paraId="61CD06D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0.890*</w:t>
            </w:r>
          </w:p>
        </w:tc>
        <w:tc>
          <w:tcPr>
            <w:tcW w:w="755" w:type="pct"/>
            <w:vMerge w:val="restart"/>
            <w:noWrap/>
            <w:hideMark/>
          </w:tcPr>
          <w:p w14:paraId="118CD84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Large</w:t>
            </w:r>
          </w:p>
        </w:tc>
      </w:tr>
      <w:tr w:rsidR="003E5B95" w:rsidRPr="00EA6A87" w14:paraId="56FDE0E3"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2260" w:type="pct"/>
            <w:tcBorders>
              <w:bottom w:val="single" w:sz="4" w:space="0" w:color="auto"/>
              <w:right w:val="single" w:sz="4" w:space="0" w:color="auto"/>
            </w:tcBorders>
            <w:hideMark/>
          </w:tcPr>
          <w:p w14:paraId="54E55799" w14:textId="77777777" w:rsidR="003E5B95" w:rsidRPr="00A20AAF"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A20AAF">
              <w:rPr>
                <w:rFonts w:eastAsia="Times New Roman" w:cs="Times New Roman"/>
                <w:b w:val="0"/>
                <w:bCs w:val="0"/>
                <w:color w:val="000000"/>
                <w:kern w:val="0"/>
                <w:szCs w:val="24"/>
                <w:lang w:eastAsia="en-US"/>
              </w:rPr>
              <w:t xml:space="preserve">H3b: SECCLI x Personality → REL </w:t>
            </w:r>
          </w:p>
        </w:tc>
        <w:tc>
          <w:tcPr>
            <w:tcW w:w="985" w:type="pct"/>
            <w:tcBorders>
              <w:left w:val="single" w:sz="4" w:space="0" w:color="auto"/>
              <w:bottom w:val="single" w:sz="4" w:space="0" w:color="auto"/>
            </w:tcBorders>
            <w:noWrap/>
            <w:hideMark/>
          </w:tcPr>
          <w:p w14:paraId="7D5E778C" w14:textId="77777777" w:rsidR="003E5B95" w:rsidRPr="00A20AAF"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A20AAF">
              <w:rPr>
                <w:rFonts w:eastAsia="Times New Roman" w:cs="Times New Roman"/>
                <w:color w:val="000000"/>
                <w:kern w:val="0"/>
                <w:szCs w:val="24"/>
                <w:lang w:eastAsia="en-US"/>
              </w:rPr>
              <w:t>Partial Support</w:t>
            </w:r>
          </w:p>
        </w:tc>
        <w:tc>
          <w:tcPr>
            <w:tcW w:w="1000" w:type="pct"/>
            <w:vMerge/>
            <w:tcBorders>
              <w:bottom w:val="single" w:sz="4" w:space="0" w:color="auto"/>
            </w:tcBorders>
            <w:hideMark/>
          </w:tcPr>
          <w:p w14:paraId="2C1D3670" w14:textId="77777777" w:rsidR="003E5B95" w:rsidRPr="00EA6A87"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 w:val="22"/>
                <w:szCs w:val="22"/>
                <w:lang w:eastAsia="en-US"/>
              </w:rPr>
            </w:pPr>
          </w:p>
        </w:tc>
        <w:tc>
          <w:tcPr>
            <w:tcW w:w="755" w:type="pct"/>
            <w:vMerge/>
            <w:tcBorders>
              <w:bottom w:val="single" w:sz="4" w:space="0" w:color="auto"/>
            </w:tcBorders>
            <w:hideMark/>
          </w:tcPr>
          <w:p w14:paraId="77BE34D6" w14:textId="77777777" w:rsidR="003E5B95" w:rsidRPr="00EA6A87"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000000"/>
                <w:kern w:val="0"/>
                <w:sz w:val="22"/>
                <w:szCs w:val="22"/>
                <w:lang w:eastAsia="en-US"/>
              </w:rPr>
            </w:pPr>
          </w:p>
        </w:tc>
      </w:tr>
    </w:tbl>
    <w:p w14:paraId="64A95B13" w14:textId="77777777" w:rsidR="003E5B95" w:rsidRPr="008A6A6E" w:rsidRDefault="003E5B95" w:rsidP="003E5B95">
      <w:pPr>
        <w:spacing w:after="160" w:line="240" w:lineRule="auto"/>
        <w:ind w:firstLine="0"/>
        <w:contextualSpacing w:val="0"/>
        <w:rPr>
          <w:rFonts w:asciiTheme="minorHAnsi" w:hAnsiTheme="minorHAnsi"/>
          <w:kern w:val="0"/>
          <w:szCs w:val="24"/>
          <w:lang w:eastAsia="en-US"/>
        </w:rPr>
      </w:pPr>
      <w:r w:rsidRPr="008A6A6E">
        <w:rPr>
          <w:rFonts w:eastAsia="Times New Roman" w:cs="Times New Roman"/>
          <w:color w:val="000000"/>
          <w:kern w:val="0"/>
          <w:szCs w:val="24"/>
          <w:lang w:eastAsia="en-US"/>
        </w:rPr>
        <w:t xml:space="preserve">* values represent global effect size (Cohen’s </w:t>
      </w:r>
      <w:r w:rsidRPr="008A6A6E">
        <w:rPr>
          <w:rFonts w:eastAsia="Times New Roman" w:cs="Times New Roman"/>
          <w:i/>
          <w:iCs/>
          <w:color w:val="000000"/>
          <w:kern w:val="0"/>
          <w:szCs w:val="24"/>
          <w:lang w:eastAsia="en-US"/>
        </w:rPr>
        <w:t>f</w:t>
      </w:r>
      <w:r w:rsidRPr="008A6A6E">
        <w:rPr>
          <w:rFonts w:eastAsia="Times New Roman" w:cs="Times New Roman"/>
          <w:i/>
          <w:iCs/>
          <w:color w:val="000000"/>
          <w:kern w:val="0"/>
          <w:szCs w:val="24"/>
          <w:vertAlign w:val="superscript"/>
          <w:lang w:eastAsia="en-US"/>
        </w:rPr>
        <w:t>2</w:t>
      </w:r>
      <w:r w:rsidRPr="008A6A6E">
        <w:rPr>
          <w:rFonts w:eastAsia="Times New Roman" w:cs="Times New Roman"/>
          <w:color w:val="000000"/>
          <w:kern w:val="0"/>
          <w:szCs w:val="24"/>
          <w:lang w:eastAsia="en-US"/>
        </w:rPr>
        <w:t>)</w:t>
      </w:r>
    </w:p>
    <w:p w14:paraId="5017D659" w14:textId="77777777" w:rsidR="003E5B95" w:rsidRDefault="003E5B95" w:rsidP="003E5B95">
      <w:pPr>
        <w:pStyle w:val="Heading2"/>
        <w:rPr>
          <w:lang w:eastAsia="en-US"/>
        </w:rPr>
      </w:pPr>
      <w:bookmarkStart w:id="235" w:name="_Toc74045259"/>
      <w:bookmarkStart w:id="236" w:name="_Toc74087544"/>
      <w:bookmarkStart w:id="237" w:name="_Toc74258660"/>
      <w:r w:rsidRPr="00AC29E4">
        <w:rPr>
          <w:lang w:eastAsia="en-US"/>
        </w:rPr>
        <w:lastRenderedPageBreak/>
        <w:t>Stage II: Classification of Stress Analysis and Results</w:t>
      </w:r>
      <w:bookmarkEnd w:id="235"/>
      <w:bookmarkEnd w:id="236"/>
      <w:bookmarkEnd w:id="237"/>
    </w:p>
    <w:p w14:paraId="3D86E422" w14:textId="6E77D598"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The second stage of the DAM concerns the secondary appraisal process in which EMS demands are evaluated as if they are controllable by cybersecurity professionals and where the resulting stress represents that of a cybersecurity professional. As a first step in analyzing this stage of the DAM, we used AMOS v27 to conduct a confirmatory analysis and measurement model validation for the constructs used in this stage. For the purposes of measurement model validation, factorial validity, reliability, and data quality tests, Stage III model variables were also included. The minimum discrepancy function (CMIN) represents the likelihood ratio test statistic, which is </w:t>
      </w:r>
      <w:r w:rsidR="003C0000" w:rsidRPr="00AC29E4">
        <w:rPr>
          <w:rFonts w:cs="Times New Roman"/>
          <w:kern w:val="0"/>
          <w:szCs w:val="24"/>
          <w:lang w:eastAsia="en-US"/>
        </w:rPr>
        <w:t>most referred</w:t>
      </w:r>
      <w:r w:rsidRPr="00AC29E4">
        <w:rPr>
          <w:rFonts w:cs="Times New Roman"/>
          <w:kern w:val="0"/>
          <w:szCs w:val="24"/>
          <w:lang w:eastAsia="en-US"/>
        </w:rPr>
        <w:t xml:space="preserve"> to as the chi-square statistic </w:t>
      </w:r>
      <w:r w:rsidRPr="00AC29E4">
        <w:rPr>
          <w:rFonts w:cs="Times New Roman"/>
          <w:noProof/>
          <w:kern w:val="0"/>
          <w:szCs w:val="24"/>
          <w:lang w:eastAsia="en-US"/>
        </w:rPr>
        <w:t>(Byrne, 2016)</w:t>
      </w:r>
      <w:r w:rsidRPr="00AC29E4">
        <w:rPr>
          <w:rFonts w:cs="Times New Roman"/>
          <w:kern w:val="0"/>
          <w:szCs w:val="24"/>
          <w:lang w:eastAsia="en-US"/>
        </w:rPr>
        <w:t>. The ratio of chi-square/degrees of freedom (DF) depends on the sample size</w:t>
      </w:r>
      <w:r w:rsidR="003C0000">
        <w:rPr>
          <w:rFonts w:cs="Times New Roman"/>
          <w:kern w:val="0"/>
          <w:szCs w:val="24"/>
          <w:lang w:eastAsia="en-US"/>
        </w:rPr>
        <w:t>. S</w:t>
      </w:r>
      <w:r w:rsidRPr="00AC29E4">
        <w:rPr>
          <w:rFonts w:cs="Times New Roman"/>
          <w:kern w:val="0"/>
          <w:szCs w:val="24"/>
          <w:lang w:eastAsia="en-US"/>
        </w:rPr>
        <w:t xml:space="preserve">ome researchers have recommended using a ratio as low as two and as high as five as an indicator of reasonable fit of data to a model </w:t>
      </w:r>
      <w:r w:rsidRPr="00AC29E4">
        <w:rPr>
          <w:rFonts w:cs="Times New Roman"/>
          <w:noProof/>
          <w:kern w:val="0"/>
          <w:szCs w:val="24"/>
          <w:lang w:eastAsia="en-US"/>
        </w:rPr>
        <w:t>(Marsh &amp; Hocevar, 1985)</w:t>
      </w:r>
      <w:r w:rsidRPr="00AC29E4">
        <w:rPr>
          <w:rFonts w:cs="Times New Roman"/>
          <w:kern w:val="0"/>
          <w:szCs w:val="24"/>
          <w:lang w:eastAsia="en-US"/>
        </w:rPr>
        <w:t xml:space="preserve">. The ratio of CMIN/DF in our measurement model was 1.677. Other model fit indices, such as the comparative fit index (CFI) = 0.922, the Tucker–Lewis index (TLI) = 0.915, the normative fit index (NFI) = 0.828, the standardized root mean square residual (SRMR) = 0.0877, and the root mean square error of approximation (RMSEA) = 0.050 were within their recommended thresholds </w:t>
      </w:r>
      <w:r w:rsidRPr="00AC29E4">
        <w:rPr>
          <w:rFonts w:cs="Times New Roman"/>
          <w:noProof/>
          <w:kern w:val="0"/>
          <w:szCs w:val="24"/>
          <w:lang w:eastAsia="en-US"/>
        </w:rPr>
        <w:t>(Byrne, 2016; Schumacker &amp; Lomax, 2016)</w:t>
      </w:r>
      <w:r w:rsidRPr="00AC29E4">
        <w:rPr>
          <w:rFonts w:cs="Times New Roman"/>
          <w:kern w:val="0"/>
          <w:szCs w:val="24"/>
          <w:lang w:eastAsia="en-US"/>
        </w:rPr>
        <w:t>, providing additional support for data fit to the model.</w:t>
      </w:r>
    </w:p>
    <w:p w14:paraId="7AEAB0FC" w14:textId="77777777"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In terms of the convergent validity of the measurement items on their respective constructs, convergent validity can be established if the average variance extracted (AVE) is equal to or above 0.500, and the composite reliability (CR) is 0.600 for every construct </w:t>
      </w:r>
      <w:r w:rsidRPr="00AC29E4">
        <w:rPr>
          <w:rFonts w:cs="Times New Roman"/>
          <w:noProof/>
          <w:kern w:val="0"/>
          <w:szCs w:val="24"/>
          <w:lang w:eastAsia="en-US"/>
        </w:rPr>
        <w:t>(Bagozzi &amp; Yi, 1988)</w:t>
      </w:r>
      <w:r w:rsidRPr="00AC29E4">
        <w:rPr>
          <w:rFonts w:cs="Times New Roman"/>
          <w:kern w:val="0"/>
          <w:szCs w:val="24"/>
          <w:lang w:eastAsia="en-US"/>
        </w:rPr>
        <w:t xml:space="preserve">. Discriminant validity is demonstrated if the square root of each construct’s AVE is greater than the </w:t>
      </w:r>
      <w:proofErr w:type="spellStart"/>
      <w:r w:rsidRPr="00AC29E4">
        <w:rPr>
          <w:rFonts w:cs="Times New Roman"/>
          <w:kern w:val="0"/>
          <w:szCs w:val="24"/>
          <w:lang w:eastAsia="en-US"/>
        </w:rPr>
        <w:t>interconstruct</w:t>
      </w:r>
      <w:proofErr w:type="spellEnd"/>
      <w:r w:rsidRPr="00AC29E4">
        <w:rPr>
          <w:rFonts w:cs="Times New Roman"/>
          <w:kern w:val="0"/>
          <w:szCs w:val="24"/>
          <w:lang w:eastAsia="en-US"/>
        </w:rPr>
        <w:t xml:space="preserve"> correlations </w:t>
      </w:r>
      <w:r w:rsidRPr="00AC29E4">
        <w:rPr>
          <w:rFonts w:cs="Times New Roman"/>
          <w:noProof/>
          <w:kern w:val="0"/>
          <w:szCs w:val="24"/>
          <w:lang w:eastAsia="en-US"/>
        </w:rPr>
        <w:t>(Bagozzi &amp; Yi, 1988; Fornell &amp; Larcker, 1981)</w:t>
      </w:r>
      <w:r w:rsidRPr="00AC29E4">
        <w:rPr>
          <w:rFonts w:cs="Times New Roman"/>
          <w:kern w:val="0"/>
          <w:szCs w:val="24"/>
          <w:lang w:eastAsia="en-US"/>
        </w:rPr>
        <w:t xml:space="preserve">. Although this is the most widely used criterion, neither this criterion nor cross-loadings can </w:t>
      </w:r>
      <w:r w:rsidRPr="00AC29E4">
        <w:rPr>
          <w:rFonts w:cs="Times New Roman"/>
          <w:kern w:val="0"/>
          <w:szCs w:val="24"/>
          <w:lang w:eastAsia="en-US"/>
        </w:rPr>
        <w:lastRenderedPageBreak/>
        <w:t xml:space="preserve">establish a lack of discriminant validity, providing an opportunity for other approaches to establish the discriminant validity </w:t>
      </w:r>
      <w:r w:rsidRPr="00AC29E4">
        <w:rPr>
          <w:rFonts w:cs="Times New Roman"/>
          <w:noProof/>
          <w:kern w:val="0"/>
          <w:szCs w:val="24"/>
          <w:lang w:eastAsia="en-US"/>
        </w:rPr>
        <w:t>(Henseler et al., 2015)</w:t>
      </w:r>
      <w:r w:rsidRPr="00AC29E4">
        <w:rPr>
          <w:rFonts w:cs="Times New Roman"/>
          <w:kern w:val="0"/>
          <w:szCs w:val="24"/>
          <w:lang w:eastAsia="en-US"/>
        </w:rPr>
        <w:t xml:space="preserve">. One such alternative approach is the </w:t>
      </w:r>
      <w:proofErr w:type="spellStart"/>
      <w:r w:rsidRPr="00AC29E4">
        <w:rPr>
          <w:rFonts w:cs="Times New Roman"/>
          <w:kern w:val="0"/>
          <w:szCs w:val="24"/>
          <w:lang w:eastAsia="en-US"/>
        </w:rPr>
        <w:t>heterotrait-monotrait</w:t>
      </w:r>
      <w:proofErr w:type="spellEnd"/>
      <w:r w:rsidRPr="00AC29E4">
        <w:rPr>
          <w:rFonts w:cs="Times New Roman"/>
          <w:kern w:val="0"/>
          <w:szCs w:val="24"/>
          <w:lang w:eastAsia="en-US"/>
        </w:rPr>
        <w:t xml:space="preserve"> (HTMT) ratio of correlations, which offers superior performance over </w:t>
      </w:r>
      <w:proofErr w:type="spellStart"/>
      <w:r w:rsidRPr="00AC29E4">
        <w:rPr>
          <w:rFonts w:cs="Times New Roman"/>
          <w:kern w:val="0"/>
          <w:szCs w:val="24"/>
          <w:lang w:eastAsia="en-US"/>
        </w:rPr>
        <w:t>Fornell</w:t>
      </w:r>
      <w:proofErr w:type="spellEnd"/>
      <w:r w:rsidRPr="00AC29E4">
        <w:rPr>
          <w:rFonts w:cs="Times New Roman"/>
          <w:kern w:val="0"/>
          <w:szCs w:val="24"/>
          <w:lang w:eastAsia="en-US"/>
        </w:rPr>
        <w:t xml:space="preserve"> and </w:t>
      </w:r>
      <w:proofErr w:type="spellStart"/>
      <w:r w:rsidRPr="00AC29E4">
        <w:rPr>
          <w:rFonts w:cs="Times New Roman"/>
          <w:kern w:val="0"/>
          <w:szCs w:val="24"/>
          <w:lang w:eastAsia="en-US"/>
        </w:rPr>
        <w:t>Larcker’s</w:t>
      </w:r>
      <w:proofErr w:type="spellEnd"/>
      <w:r w:rsidRPr="00AC29E4">
        <w:rPr>
          <w:rFonts w:cs="Times New Roman"/>
          <w:kern w:val="0"/>
          <w:szCs w:val="24"/>
          <w:lang w:eastAsia="en-US"/>
        </w:rPr>
        <w:t xml:space="preserve"> (1981) criterion of AVE </w:t>
      </w:r>
      <w:r w:rsidRPr="00AC29E4">
        <w:rPr>
          <w:rFonts w:cs="Times New Roman"/>
          <w:noProof/>
          <w:kern w:val="0"/>
          <w:szCs w:val="24"/>
          <w:lang w:eastAsia="en-US"/>
        </w:rPr>
        <w:t>(Henseler et al., 2015)</w:t>
      </w:r>
      <w:r w:rsidRPr="00AC29E4">
        <w:rPr>
          <w:rFonts w:cs="Times New Roman"/>
          <w:kern w:val="0"/>
          <w:szCs w:val="24"/>
          <w:lang w:eastAsia="en-US"/>
        </w:rPr>
        <w:t xml:space="preserve">. HTMT measures the correlations of indicators across constructs, with desirable threshold levels of 0.850 for strict estimates and 0.90 for more liberal estimates </w:t>
      </w:r>
      <w:r w:rsidRPr="00AC29E4">
        <w:rPr>
          <w:rFonts w:cs="Times New Roman"/>
          <w:noProof/>
          <w:kern w:val="0"/>
          <w:szCs w:val="24"/>
          <w:lang w:eastAsia="en-US"/>
        </w:rPr>
        <w:t>(Henseler et al., 2015)</w:t>
      </w:r>
      <w:r w:rsidRPr="00AC29E4">
        <w:rPr>
          <w:rFonts w:cs="Times New Roman"/>
          <w:kern w:val="0"/>
          <w:szCs w:val="24"/>
          <w:lang w:eastAsia="en-US"/>
        </w:rPr>
        <w:t xml:space="preserve">. </w:t>
      </w:r>
    </w:p>
    <w:p w14:paraId="18949C13" w14:textId="4CB66B85" w:rsidR="003E5B95" w:rsidRPr="00552D92"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Tables </w:t>
      </w:r>
      <w:r>
        <w:rPr>
          <w:rFonts w:cs="Times New Roman"/>
          <w:kern w:val="0"/>
          <w:szCs w:val="24"/>
          <w:lang w:eastAsia="en-US"/>
        </w:rPr>
        <w:t>6</w:t>
      </w:r>
      <w:r w:rsidRPr="00AC29E4">
        <w:rPr>
          <w:rFonts w:cs="Times New Roman"/>
          <w:kern w:val="0"/>
          <w:szCs w:val="24"/>
          <w:lang w:eastAsia="en-US"/>
        </w:rPr>
        <w:t xml:space="preserve"> and </w:t>
      </w:r>
      <w:r>
        <w:rPr>
          <w:rFonts w:cs="Times New Roman"/>
          <w:kern w:val="0"/>
          <w:szCs w:val="24"/>
          <w:lang w:eastAsia="en-US"/>
        </w:rPr>
        <w:t>7</w:t>
      </w:r>
      <w:r w:rsidRPr="00AC29E4">
        <w:rPr>
          <w:rFonts w:cs="Times New Roman"/>
          <w:kern w:val="0"/>
          <w:szCs w:val="24"/>
          <w:lang w:eastAsia="en-US"/>
        </w:rPr>
        <w:t xml:space="preserve"> show </w:t>
      </w:r>
      <w:r>
        <w:rPr>
          <w:rFonts w:cs="Times New Roman"/>
          <w:kern w:val="0"/>
          <w:szCs w:val="24"/>
          <w:lang w:eastAsia="en-US"/>
        </w:rPr>
        <w:t xml:space="preserve">the results of </w:t>
      </w:r>
      <w:r w:rsidR="003C0000">
        <w:rPr>
          <w:rFonts w:cs="Times New Roman"/>
          <w:kern w:val="0"/>
          <w:szCs w:val="24"/>
          <w:lang w:eastAsia="en-US"/>
        </w:rPr>
        <w:t xml:space="preserve">the </w:t>
      </w:r>
      <w:r>
        <w:rPr>
          <w:rFonts w:cs="Times New Roman"/>
          <w:kern w:val="0"/>
          <w:szCs w:val="24"/>
          <w:lang w:eastAsia="en-US"/>
        </w:rPr>
        <w:t>validity analysis.</w:t>
      </w:r>
      <w:r w:rsidRPr="00AC29E4">
        <w:rPr>
          <w:rFonts w:cs="Times New Roman"/>
          <w:kern w:val="0"/>
          <w:szCs w:val="24"/>
          <w:lang w:eastAsia="en-US"/>
        </w:rPr>
        <w:t xml:space="preserve"> Off diagonals are the square root of AVE in Table </w:t>
      </w:r>
      <w:r>
        <w:rPr>
          <w:rFonts w:cs="Times New Roman"/>
          <w:kern w:val="0"/>
          <w:szCs w:val="24"/>
          <w:lang w:eastAsia="en-US"/>
        </w:rPr>
        <w:t>6</w:t>
      </w:r>
      <w:r w:rsidRPr="00AC29E4">
        <w:rPr>
          <w:rFonts w:cs="Times New Roman"/>
          <w:kern w:val="0"/>
          <w:szCs w:val="24"/>
          <w:lang w:eastAsia="en-US"/>
        </w:rPr>
        <w:t>. As shown</w:t>
      </w:r>
      <w:r w:rsidR="003C0000">
        <w:rPr>
          <w:rFonts w:cs="Times New Roman"/>
          <w:kern w:val="0"/>
          <w:szCs w:val="24"/>
          <w:lang w:eastAsia="en-US"/>
        </w:rPr>
        <w:t xml:space="preserve"> </w:t>
      </w:r>
      <w:r w:rsidR="008A5F45">
        <w:rPr>
          <w:rFonts w:cs="Times New Roman"/>
          <w:kern w:val="0"/>
          <w:szCs w:val="24"/>
          <w:lang w:eastAsia="en-US"/>
        </w:rPr>
        <w:t>in Table 6,</w:t>
      </w:r>
      <w:r w:rsidRPr="00AC29E4">
        <w:rPr>
          <w:rFonts w:cs="Times New Roman"/>
          <w:kern w:val="0"/>
          <w:szCs w:val="24"/>
          <w:lang w:eastAsia="en-US"/>
        </w:rPr>
        <w:t xml:space="preserve"> the CR for each construct is greater than the recommended threshold of 0.700, and all AVE scores are above 0.500. </w:t>
      </w:r>
    </w:p>
    <w:p w14:paraId="1834475E" w14:textId="77777777" w:rsidR="003E5B95" w:rsidRDefault="003E5B95" w:rsidP="003E5B95">
      <w:pPr>
        <w:pStyle w:val="Caption"/>
        <w:keepNext/>
        <w:spacing w:line="480" w:lineRule="auto"/>
        <w:rPr>
          <w:sz w:val="24"/>
          <w:szCs w:val="24"/>
        </w:rPr>
      </w:pPr>
      <w:bookmarkStart w:id="238" w:name="_Toc73955259"/>
      <w:bookmarkStart w:id="239" w:name="_Toc74074420"/>
      <w:r w:rsidRPr="001B5DCA">
        <w:rPr>
          <w:sz w:val="24"/>
          <w:szCs w:val="24"/>
        </w:rPr>
        <w:t xml:space="preserve">Table </w:t>
      </w:r>
      <w:r>
        <w:rPr>
          <w:sz w:val="24"/>
          <w:szCs w:val="24"/>
        </w:rPr>
        <w:t>6</w:t>
      </w:r>
      <w:r w:rsidRPr="001B5DCA">
        <w:rPr>
          <w:sz w:val="24"/>
          <w:szCs w:val="24"/>
        </w:rPr>
        <w:t xml:space="preserve"> </w:t>
      </w:r>
      <w:bookmarkStart w:id="240" w:name="_Toc73917979"/>
    </w:p>
    <w:p w14:paraId="28A2990C" w14:textId="77777777" w:rsidR="003E5B95" w:rsidRPr="001B5DCA" w:rsidRDefault="003E5B95" w:rsidP="003E5B95">
      <w:pPr>
        <w:pStyle w:val="Caption"/>
        <w:keepNext/>
        <w:spacing w:line="480" w:lineRule="auto"/>
        <w:rPr>
          <w:b w:val="0"/>
          <w:bCs/>
          <w:i/>
          <w:iCs w:val="0"/>
          <w:sz w:val="24"/>
          <w:szCs w:val="24"/>
        </w:rPr>
      </w:pPr>
      <w:r w:rsidRPr="001B5DCA">
        <w:rPr>
          <w:b w:val="0"/>
          <w:bCs/>
          <w:i/>
          <w:iCs w:val="0"/>
          <w:sz w:val="24"/>
          <w:szCs w:val="24"/>
        </w:rPr>
        <w:t>Results of Validity Analysis</w:t>
      </w:r>
      <w:bookmarkEnd w:id="238"/>
      <w:bookmarkEnd w:id="239"/>
      <w:bookmarkEnd w:id="240"/>
    </w:p>
    <w:tbl>
      <w:tblPr>
        <w:tblStyle w:val="PlainTable4"/>
        <w:tblW w:w="5000" w:type="pct"/>
        <w:tblLook w:val="04A0" w:firstRow="1" w:lastRow="0" w:firstColumn="1" w:lastColumn="0" w:noHBand="0" w:noVBand="1"/>
      </w:tblPr>
      <w:tblGrid>
        <w:gridCol w:w="1303"/>
        <w:gridCol w:w="950"/>
        <w:gridCol w:w="956"/>
        <w:gridCol w:w="950"/>
        <w:gridCol w:w="1124"/>
        <w:gridCol w:w="1217"/>
        <w:gridCol w:w="950"/>
        <w:gridCol w:w="953"/>
        <w:gridCol w:w="957"/>
      </w:tblGrid>
      <w:tr w:rsidR="003E5B95" w:rsidRPr="008A6A6E" w14:paraId="07868DDD" w14:textId="77777777" w:rsidTr="003E5B95">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06" w:type="pct"/>
            <w:tcBorders>
              <w:top w:val="single" w:sz="4" w:space="0" w:color="auto"/>
              <w:bottom w:val="single" w:sz="4" w:space="0" w:color="auto"/>
              <w:right w:val="single" w:sz="4" w:space="0" w:color="auto"/>
            </w:tcBorders>
            <w:hideMark/>
          </w:tcPr>
          <w:p w14:paraId="00D6282C"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Constructs</w:t>
            </w:r>
          </w:p>
        </w:tc>
        <w:tc>
          <w:tcPr>
            <w:tcW w:w="537" w:type="pct"/>
            <w:tcBorders>
              <w:top w:val="single" w:sz="4" w:space="0" w:color="auto"/>
              <w:left w:val="single" w:sz="4" w:space="0" w:color="auto"/>
              <w:bottom w:val="single" w:sz="4" w:space="0" w:color="auto"/>
            </w:tcBorders>
            <w:hideMark/>
          </w:tcPr>
          <w:p w14:paraId="32CFC60D"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CR</w:t>
            </w:r>
          </w:p>
        </w:tc>
        <w:tc>
          <w:tcPr>
            <w:tcW w:w="540" w:type="pct"/>
            <w:tcBorders>
              <w:top w:val="single" w:sz="4" w:space="0" w:color="auto"/>
              <w:bottom w:val="single" w:sz="4" w:space="0" w:color="auto"/>
            </w:tcBorders>
            <w:hideMark/>
          </w:tcPr>
          <w:p w14:paraId="67ED9EB0"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AVE</w:t>
            </w:r>
          </w:p>
        </w:tc>
        <w:tc>
          <w:tcPr>
            <w:tcW w:w="537" w:type="pct"/>
            <w:tcBorders>
              <w:top w:val="single" w:sz="4" w:space="0" w:color="auto"/>
              <w:bottom w:val="single" w:sz="4" w:space="0" w:color="auto"/>
            </w:tcBorders>
          </w:tcPr>
          <w:p w14:paraId="21EDB399"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REL</w:t>
            </w:r>
          </w:p>
        </w:tc>
        <w:tc>
          <w:tcPr>
            <w:tcW w:w="560" w:type="pct"/>
            <w:tcBorders>
              <w:top w:val="single" w:sz="4" w:space="0" w:color="auto"/>
              <w:bottom w:val="single" w:sz="4" w:space="0" w:color="auto"/>
            </w:tcBorders>
          </w:tcPr>
          <w:p w14:paraId="370FB4B9"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CHSTRS</w:t>
            </w:r>
          </w:p>
        </w:tc>
        <w:tc>
          <w:tcPr>
            <w:tcW w:w="605" w:type="pct"/>
            <w:tcBorders>
              <w:top w:val="single" w:sz="4" w:space="0" w:color="auto"/>
              <w:bottom w:val="single" w:sz="4" w:space="0" w:color="auto"/>
            </w:tcBorders>
          </w:tcPr>
          <w:p w14:paraId="7094E343"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HINSTRS</w:t>
            </w:r>
          </w:p>
        </w:tc>
        <w:tc>
          <w:tcPr>
            <w:tcW w:w="537" w:type="pct"/>
            <w:tcBorders>
              <w:top w:val="single" w:sz="4" w:space="0" w:color="auto"/>
              <w:bottom w:val="single" w:sz="4" w:space="0" w:color="auto"/>
            </w:tcBorders>
          </w:tcPr>
          <w:p w14:paraId="1ADF7B2D"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PFS</w:t>
            </w:r>
          </w:p>
        </w:tc>
        <w:tc>
          <w:tcPr>
            <w:tcW w:w="538" w:type="pct"/>
            <w:tcBorders>
              <w:top w:val="single" w:sz="4" w:space="0" w:color="auto"/>
              <w:bottom w:val="single" w:sz="4" w:space="0" w:color="auto"/>
            </w:tcBorders>
          </w:tcPr>
          <w:p w14:paraId="0A852E50"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EFC</w:t>
            </w:r>
          </w:p>
        </w:tc>
        <w:tc>
          <w:tcPr>
            <w:tcW w:w="540" w:type="pct"/>
            <w:tcBorders>
              <w:top w:val="single" w:sz="4" w:space="0" w:color="auto"/>
              <w:bottom w:val="single" w:sz="4" w:space="0" w:color="auto"/>
            </w:tcBorders>
          </w:tcPr>
          <w:p w14:paraId="324E790C"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CTRL</w:t>
            </w:r>
          </w:p>
        </w:tc>
      </w:tr>
      <w:tr w:rsidR="003E5B95" w:rsidRPr="008A6A6E" w14:paraId="6E4B4C97"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06" w:type="pct"/>
            <w:tcBorders>
              <w:top w:val="single" w:sz="4" w:space="0" w:color="auto"/>
              <w:right w:val="single" w:sz="4" w:space="0" w:color="auto"/>
            </w:tcBorders>
            <w:hideMark/>
          </w:tcPr>
          <w:p w14:paraId="4FFD1C38"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REL</w:t>
            </w:r>
          </w:p>
        </w:tc>
        <w:tc>
          <w:tcPr>
            <w:tcW w:w="537" w:type="pct"/>
            <w:tcBorders>
              <w:top w:val="single" w:sz="4" w:space="0" w:color="auto"/>
              <w:left w:val="single" w:sz="4" w:space="0" w:color="auto"/>
            </w:tcBorders>
            <w:hideMark/>
          </w:tcPr>
          <w:p w14:paraId="3C306E6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0.793</w:t>
            </w:r>
          </w:p>
        </w:tc>
        <w:tc>
          <w:tcPr>
            <w:tcW w:w="540" w:type="pct"/>
            <w:tcBorders>
              <w:top w:val="single" w:sz="4" w:space="0" w:color="auto"/>
            </w:tcBorders>
            <w:hideMark/>
          </w:tcPr>
          <w:p w14:paraId="2907578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0.561</w:t>
            </w:r>
          </w:p>
        </w:tc>
        <w:tc>
          <w:tcPr>
            <w:tcW w:w="537" w:type="pct"/>
            <w:tcBorders>
              <w:top w:val="single" w:sz="4" w:space="0" w:color="auto"/>
            </w:tcBorders>
            <w:hideMark/>
          </w:tcPr>
          <w:p w14:paraId="19B4C8A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0.749</w:t>
            </w:r>
          </w:p>
        </w:tc>
        <w:tc>
          <w:tcPr>
            <w:tcW w:w="560" w:type="pct"/>
            <w:tcBorders>
              <w:top w:val="single" w:sz="4" w:space="0" w:color="auto"/>
            </w:tcBorders>
            <w:hideMark/>
          </w:tcPr>
          <w:p w14:paraId="478291D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605" w:type="pct"/>
            <w:tcBorders>
              <w:top w:val="single" w:sz="4" w:space="0" w:color="auto"/>
            </w:tcBorders>
            <w:hideMark/>
          </w:tcPr>
          <w:p w14:paraId="772304B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37" w:type="pct"/>
            <w:tcBorders>
              <w:top w:val="single" w:sz="4" w:space="0" w:color="auto"/>
            </w:tcBorders>
            <w:hideMark/>
          </w:tcPr>
          <w:p w14:paraId="1579694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38" w:type="pct"/>
            <w:tcBorders>
              <w:top w:val="single" w:sz="4" w:space="0" w:color="auto"/>
            </w:tcBorders>
            <w:hideMark/>
          </w:tcPr>
          <w:p w14:paraId="6DC89FA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40" w:type="pct"/>
            <w:tcBorders>
              <w:top w:val="single" w:sz="4" w:space="0" w:color="auto"/>
            </w:tcBorders>
            <w:hideMark/>
          </w:tcPr>
          <w:p w14:paraId="44A0F7B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7EB2BC1E"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606" w:type="pct"/>
            <w:tcBorders>
              <w:right w:val="single" w:sz="4" w:space="0" w:color="auto"/>
            </w:tcBorders>
            <w:hideMark/>
          </w:tcPr>
          <w:p w14:paraId="59C63065"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CHSTRS</w:t>
            </w:r>
          </w:p>
        </w:tc>
        <w:tc>
          <w:tcPr>
            <w:tcW w:w="537" w:type="pct"/>
            <w:tcBorders>
              <w:left w:val="single" w:sz="4" w:space="0" w:color="auto"/>
            </w:tcBorders>
            <w:hideMark/>
          </w:tcPr>
          <w:p w14:paraId="233B702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0.812</w:t>
            </w:r>
          </w:p>
        </w:tc>
        <w:tc>
          <w:tcPr>
            <w:tcW w:w="540" w:type="pct"/>
            <w:hideMark/>
          </w:tcPr>
          <w:p w14:paraId="3A4968D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0.520</w:t>
            </w:r>
          </w:p>
        </w:tc>
        <w:tc>
          <w:tcPr>
            <w:tcW w:w="537" w:type="pct"/>
            <w:hideMark/>
          </w:tcPr>
          <w:p w14:paraId="2D49066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0.216</w:t>
            </w:r>
          </w:p>
        </w:tc>
        <w:tc>
          <w:tcPr>
            <w:tcW w:w="560" w:type="pct"/>
            <w:hideMark/>
          </w:tcPr>
          <w:p w14:paraId="6587A3FD"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0.721</w:t>
            </w:r>
          </w:p>
        </w:tc>
        <w:tc>
          <w:tcPr>
            <w:tcW w:w="605" w:type="pct"/>
            <w:hideMark/>
          </w:tcPr>
          <w:p w14:paraId="1FAB037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37" w:type="pct"/>
            <w:hideMark/>
          </w:tcPr>
          <w:p w14:paraId="7EAFDA6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38" w:type="pct"/>
            <w:hideMark/>
          </w:tcPr>
          <w:p w14:paraId="3B5B28F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40" w:type="pct"/>
            <w:hideMark/>
          </w:tcPr>
          <w:p w14:paraId="333E78F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77C3CD84"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06" w:type="pct"/>
            <w:tcBorders>
              <w:right w:val="single" w:sz="4" w:space="0" w:color="auto"/>
            </w:tcBorders>
            <w:hideMark/>
          </w:tcPr>
          <w:p w14:paraId="29E7D3CB"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HINSTRS</w:t>
            </w:r>
          </w:p>
        </w:tc>
        <w:tc>
          <w:tcPr>
            <w:tcW w:w="537" w:type="pct"/>
            <w:tcBorders>
              <w:left w:val="single" w:sz="4" w:space="0" w:color="auto"/>
            </w:tcBorders>
            <w:hideMark/>
          </w:tcPr>
          <w:p w14:paraId="3DB4E73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0.927</w:t>
            </w:r>
          </w:p>
        </w:tc>
        <w:tc>
          <w:tcPr>
            <w:tcW w:w="540" w:type="pct"/>
            <w:hideMark/>
          </w:tcPr>
          <w:p w14:paraId="6016117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0.809</w:t>
            </w:r>
          </w:p>
        </w:tc>
        <w:tc>
          <w:tcPr>
            <w:tcW w:w="537" w:type="pct"/>
            <w:hideMark/>
          </w:tcPr>
          <w:p w14:paraId="49A9448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0.438</w:t>
            </w:r>
          </w:p>
        </w:tc>
        <w:tc>
          <w:tcPr>
            <w:tcW w:w="560" w:type="pct"/>
            <w:hideMark/>
          </w:tcPr>
          <w:p w14:paraId="7DB67BE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-0.194</w:t>
            </w:r>
          </w:p>
        </w:tc>
        <w:tc>
          <w:tcPr>
            <w:tcW w:w="605" w:type="pct"/>
            <w:hideMark/>
          </w:tcPr>
          <w:p w14:paraId="5CBD3C9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0.900</w:t>
            </w:r>
          </w:p>
        </w:tc>
        <w:tc>
          <w:tcPr>
            <w:tcW w:w="537" w:type="pct"/>
            <w:hideMark/>
          </w:tcPr>
          <w:p w14:paraId="62CA52A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38" w:type="pct"/>
            <w:hideMark/>
          </w:tcPr>
          <w:p w14:paraId="06D2D7A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40" w:type="pct"/>
            <w:hideMark/>
          </w:tcPr>
          <w:p w14:paraId="61A7A72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62E86DB1"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606" w:type="pct"/>
            <w:tcBorders>
              <w:right w:val="single" w:sz="4" w:space="0" w:color="auto"/>
            </w:tcBorders>
            <w:hideMark/>
          </w:tcPr>
          <w:p w14:paraId="2DB03F0F"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PFS</w:t>
            </w:r>
          </w:p>
        </w:tc>
        <w:tc>
          <w:tcPr>
            <w:tcW w:w="537" w:type="pct"/>
            <w:tcBorders>
              <w:left w:val="single" w:sz="4" w:space="0" w:color="auto"/>
            </w:tcBorders>
            <w:hideMark/>
          </w:tcPr>
          <w:p w14:paraId="5D6FF0E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0.819</w:t>
            </w:r>
          </w:p>
        </w:tc>
        <w:tc>
          <w:tcPr>
            <w:tcW w:w="540" w:type="pct"/>
            <w:hideMark/>
          </w:tcPr>
          <w:p w14:paraId="2A79883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0.611</w:t>
            </w:r>
          </w:p>
        </w:tc>
        <w:tc>
          <w:tcPr>
            <w:tcW w:w="537" w:type="pct"/>
            <w:hideMark/>
          </w:tcPr>
          <w:p w14:paraId="136B659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0.301</w:t>
            </w:r>
          </w:p>
        </w:tc>
        <w:tc>
          <w:tcPr>
            <w:tcW w:w="560" w:type="pct"/>
            <w:hideMark/>
          </w:tcPr>
          <w:p w14:paraId="1A255A3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0.855</w:t>
            </w:r>
          </w:p>
        </w:tc>
        <w:tc>
          <w:tcPr>
            <w:tcW w:w="605" w:type="pct"/>
            <w:hideMark/>
          </w:tcPr>
          <w:p w14:paraId="26032D0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-0.224</w:t>
            </w:r>
          </w:p>
        </w:tc>
        <w:tc>
          <w:tcPr>
            <w:tcW w:w="537" w:type="pct"/>
            <w:hideMark/>
          </w:tcPr>
          <w:p w14:paraId="62E323B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0.782</w:t>
            </w:r>
          </w:p>
        </w:tc>
        <w:tc>
          <w:tcPr>
            <w:tcW w:w="538" w:type="pct"/>
            <w:hideMark/>
          </w:tcPr>
          <w:p w14:paraId="3EDEB3F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540" w:type="pct"/>
            <w:hideMark/>
          </w:tcPr>
          <w:p w14:paraId="00AC092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51AA9174"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06" w:type="pct"/>
            <w:tcBorders>
              <w:right w:val="single" w:sz="4" w:space="0" w:color="auto"/>
            </w:tcBorders>
          </w:tcPr>
          <w:p w14:paraId="09C50C8D"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EFC</w:t>
            </w:r>
          </w:p>
        </w:tc>
        <w:tc>
          <w:tcPr>
            <w:tcW w:w="537" w:type="pct"/>
            <w:tcBorders>
              <w:left w:val="single" w:sz="4" w:space="0" w:color="auto"/>
            </w:tcBorders>
          </w:tcPr>
          <w:p w14:paraId="677F35B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0.975</w:t>
            </w:r>
          </w:p>
        </w:tc>
        <w:tc>
          <w:tcPr>
            <w:tcW w:w="540" w:type="pct"/>
          </w:tcPr>
          <w:p w14:paraId="163CAC0A"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0.889</w:t>
            </w:r>
          </w:p>
        </w:tc>
        <w:tc>
          <w:tcPr>
            <w:tcW w:w="537" w:type="pct"/>
          </w:tcPr>
          <w:p w14:paraId="30A0A71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0.475</w:t>
            </w:r>
          </w:p>
        </w:tc>
        <w:tc>
          <w:tcPr>
            <w:tcW w:w="560" w:type="pct"/>
          </w:tcPr>
          <w:p w14:paraId="1E3704A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-0.168</w:t>
            </w:r>
          </w:p>
        </w:tc>
        <w:tc>
          <w:tcPr>
            <w:tcW w:w="605" w:type="pct"/>
          </w:tcPr>
          <w:p w14:paraId="3FBB738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0.689</w:t>
            </w:r>
          </w:p>
        </w:tc>
        <w:tc>
          <w:tcPr>
            <w:tcW w:w="537" w:type="pct"/>
          </w:tcPr>
          <w:p w14:paraId="154D0174"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-0.144</w:t>
            </w:r>
          </w:p>
        </w:tc>
        <w:tc>
          <w:tcPr>
            <w:tcW w:w="538" w:type="pct"/>
          </w:tcPr>
          <w:p w14:paraId="463D841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0.943</w:t>
            </w:r>
          </w:p>
        </w:tc>
        <w:tc>
          <w:tcPr>
            <w:tcW w:w="540" w:type="pct"/>
          </w:tcPr>
          <w:p w14:paraId="4100AAF0"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p>
        </w:tc>
      </w:tr>
      <w:tr w:rsidR="003E5B95" w:rsidRPr="008A6A6E" w14:paraId="11C0CBFB"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606" w:type="pct"/>
            <w:tcBorders>
              <w:bottom w:val="single" w:sz="4" w:space="0" w:color="auto"/>
              <w:right w:val="single" w:sz="4" w:space="0" w:color="auto"/>
            </w:tcBorders>
            <w:hideMark/>
          </w:tcPr>
          <w:p w14:paraId="179AE7EF"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CTRL</w:t>
            </w:r>
          </w:p>
        </w:tc>
        <w:tc>
          <w:tcPr>
            <w:tcW w:w="537" w:type="pct"/>
            <w:tcBorders>
              <w:left w:val="single" w:sz="4" w:space="0" w:color="auto"/>
              <w:bottom w:val="single" w:sz="4" w:space="0" w:color="auto"/>
            </w:tcBorders>
            <w:hideMark/>
          </w:tcPr>
          <w:p w14:paraId="2CC078A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0.972</w:t>
            </w:r>
          </w:p>
        </w:tc>
        <w:tc>
          <w:tcPr>
            <w:tcW w:w="540" w:type="pct"/>
            <w:tcBorders>
              <w:bottom w:val="single" w:sz="4" w:space="0" w:color="auto"/>
            </w:tcBorders>
            <w:hideMark/>
          </w:tcPr>
          <w:p w14:paraId="6EE1FE7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0.946</w:t>
            </w:r>
          </w:p>
        </w:tc>
        <w:tc>
          <w:tcPr>
            <w:tcW w:w="537" w:type="pct"/>
            <w:tcBorders>
              <w:bottom w:val="single" w:sz="4" w:space="0" w:color="auto"/>
            </w:tcBorders>
            <w:hideMark/>
          </w:tcPr>
          <w:p w14:paraId="6EEC7DA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0.166</w:t>
            </w:r>
          </w:p>
        </w:tc>
        <w:tc>
          <w:tcPr>
            <w:tcW w:w="560" w:type="pct"/>
            <w:tcBorders>
              <w:bottom w:val="single" w:sz="4" w:space="0" w:color="auto"/>
            </w:tcBorders>
            <w:hideMark/>
          </w:tcPr>
          <w:p w14:paraId="019DB99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0.844</w:t>
            </w:r>
          </w:p>
        </w:tc>
        <w:tc>
          <w:tcPr>
            <w:tcW w:w="605" w:type="pct"/>
            <w:tcBorders>
              <w:bottom w:val="single" w:sz="4" w:space="0" w:color="auto"/>
            </w:tcBorders>
            <w:hideMark/>
          </w:tcPr>
          <w:p w14:paraId="1AE6108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-0.339</w:t>
            </w:r>
          </w:p>
        </w:tc>
        <w:tc>
          <w:tcPr>
            <w:tcW w:w="537" w:type="pct"/>
            <w:tcBorders>
              <w:bottom w:val="single" w:sz="4" w:space="0" w:color="auto"/>
            </w:tcBorders>
            <w:hideMark/>
          </w:tcPr>
          <w:p w14:paraId="0713EA40"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0.955</w:t>
            </w:r>
          </w:p>
        </w:tc>
        <w:tc>
          <w:tcPr>
            <w:tcW w:w="538" w:type="pct"/>
            <w:tcBorders>
              <w:bottom w:val="single" w:sz="4" w:space="0" w:color="auto"/>
            </w:tcBorders>
            <w:hideMark/>
          </w:tcPr>
          <w:p w14:paraId="220E5FD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-0.250</w:t>
            </w:r>
          </w:p>
        </w:tc>
        <w:tc>
          <w:tcPr>
            <w:tcW w:w="540" w:type="pct"/>
            <w:tcBorders>
              <w:bottom w:val="single" w:sz="4" w:space="0" w:color="auto"/>
            </w:tcBorders>
            <w:hideMark/>
          </w:tcPr>
          <w:p w14:paraId="1C80BC3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0.973</w:t>
            </w:r>
          </w:p>
        </w:tc>
      </w:tr>
    </w:tbl>
    <w:p w14:paraId="2C5E170B" w14:textId="77777777" w:rsidR="003E5B95" w:rsidRPr="008A6A6E" w:rsidRDefault="003E5B95" w:rsidP="003E5B95">
      <w:pPr>
        <w:keepNext/>
        <w:spacing w:after="160" w:line="240" w:lineRule="auto"/>
        <w:ind w:firstLine="0"/>
        <w:contextualSpacing w:val="0"/>
        <w:rPr>
          <w:rFonts w:cs="Times New Roman"/>
          <w:kern w:val="0"/>
          <w:szCs w:val="24"/>
          <w:lang w:eastAsia="en-US"/>
        </w:rPr>
      </w:pPr>
      <w:r w:rsidRPr="008A6A6E">
        <w:rPr>
          <w:rFonts w:cs="Times New Roman"/>
          <w:kern w:val="0"/>
          <w:szCs w:val="24"/>
          <w:lang w:eastAsia="en-US"/>
        </w:rPr>
        <w:t>Composite reliability (CR); AVE (average variance extracted); Relevance (REL); Challenge stress (CHSTRS); Hindrance stress (HINSTRS); Problem-focused savoring (PFS); Emotion-focused coping (EFC); Control (CTRL); off diagonal numbers are the square root of AVE</w:t>
      </w:r>
    </w:p>
    <w:p w14:paraId="30A6BB54" w14:textId="77777777" w:rsidR="003E5B95" w:rsidRPr="002A462E" w:rsidRDefault="003E5B95" w:rsidP="007A51DE">
      <w:pPr>
        <w:spacing w:before="240" w:after="160"/>
        <w:contextualSpacing w:val="0"/>
        <w:rPr>
          <w:rFonts w:cs="Times New Roman"/>
          <w:kern w:val="0"/>
          <w:szCs w:val="24"/>
          <w:lang w:eastAsia="en-US"/>
        </w:rPr>
      </w:pPr>
      <w:r w:rsidRPr="00AC29E4">
        <w:rPr>
          <w:rFonts w:cs="Times New Roman"/>
          <w:kern w:val="0"/>
          <w:szCs w:val="24"/>
          <w:lang w:eastAsia="en-US"/>
        </w:rPr>
        <w:t xml:space="preserve">Table </w:t>
      </w:r>
      <w:r>
        <w:rPr>
          <w:rFonts w:cs="Times New Roman"/>
          <w:kern w:val="0"/>
          <w:szCs w:val="24"/>
          <w:lang w:eastAsia="en-US"/>
        </w:rPr>
        <w:t>7</w:t>
      </w:r>
      <w:r w:rsidRPr="00AC29E4">
        <w:rPr>
          <w:rFonts w:cs="Times New Roman"/>
          <w:kern w:val="0"/>
          <w:szCs w:val="24"/>
          <w:lang w:eastAsia="en-US"/>
        </w:rPr>
        <w:t xml:space="preserve"> shows the mean and standard deviation values for the variables in the model, along with the results of the HTMT analysis. As shown, the criterion for discriminant validity is also met, and all constructs are within the recommended threshold of 0.85 for strict discriminant validity, as per the HTMT analysis. Collectively, the results indicate sufficient levels of </w:t>
      </w:r>
      <w:r w:rsidRPr="00AC29E4">
        <w:rPr>
          <w:rFonts w:cs="Times New Roman"/>
          <w:kern w:val="0"/>
          <w:szCs w:val="24"/>
          <w:lang w:eastAsia="en-US"/>
        </w:rPr>
        <w:lastRenderedPageBreak/>
        <w:t xml:space="preserve">convergent validity, discriminant validity, and reliability among the measures used in the survey instrument. </w:t>
      </w:r>
    </w:p>
    <w:p w14:paraId="076D5BCD" w14:textId="77777777" w:rsidR="003E5B95" w:rsidRPr="002A462E" w:rsidRDefault="003E5B95" w:rsidP="003E5B95">
      <w:pPr>
        <w:pStyle w:val="Caption"/>
        <w:keepNext/>
        <w:spacing w:line="480" w:lineRule="auto"/>
        <w:rPr>
          <w:sz w:val="24"/>
          <w:szCs w:val="24"/>
        </w:rPr>
      </w:pPr>
      <w:bookmarkStart w:id="241" w:name="_Toc73955260"/>
      <w:bookmarkStart w:id="242" w:name="_Toc74074421"/>
      <w:r w:rsidRPr="002A462E">
        <w:rPr>
          <w:sz w:val="24"/>
          <w:szCs w:val="24"/>
        </w:rPr>
        <w:t>Table 7</w:t>
      </w:r>
    </w:p>
    <w:p w14:paraId="09676DE1" w14:textId="77777777" w:rsidR="003E5B95" w:rsidRPr="002A462E" w:rsidRDefault="003E5B95" w:rsidP="003E5B95">
      <w:pPr>
        <w:pStyle w:val="Caption"/>
        <w:keepNext/>
        <w:spacing w:line="480" w:lineRule="auto"/>
        <w:rPr>
          <w:b w:val="0"/>
          <w:bCs/>
          <w:i/>
          <w:iCs w:val="0"/>
          <w:sz w:val="24"/>
          <w:szCs w:val="24"/>
        </w:rPr>
      </w:pPr>
      <w:bookmarkStart w:id="243" w:name="_Toc73917980"/>
      <w:proofErr w:type="spellStart"/>
      <w:r w:rsidRPr="002A462E">
        <w:rPr>
          <w:b w:val="0"/>
          <w:bCs/>
          <w:i/>
          <w:iCs w:val="0"/>
          <w:sz w:val="24"/>
          <w:szCs w:val="24"/>
        </w:rPr>
        <w:t>Heterotrait-Monotrait</w:t>
      </w:r>
      <w:proofErr w:type="spellEnd"/>
      <w:r w:rsidRPr="002A462E">
        <w:rPr>
          <w:b w:val="0"/>
          <w:bCs/>
          <w:i/>
          <w:iCs w:val="0"/>
          <w:sz w:val="24"/>
          <w:szCs w:val="24"/>
        </w:rPr>
        <w:t xml:space="preserve"> (HTMT) Analysis for Discriminant Validity</w:t>
      </w:r>
      <w:bookmarkEnd w:id="241"/>
      <w:bookmarkEnd w:id="242"/>
      <w:bookmarkEnd w:id="243"/>
    </w:p>
    <w:tbl>
      <w:tblPr>
        <w:tblStyle w:val="PlainTable4"/>
        <w:tblW w:w="5000" w:type="pct"/>
        <w:tblLook w:val="04A0" w:firstRow="1" w:lastRow="0" w:firstColumn="1" w:lastColumn="0" w:noHBand="0" w:noVBand="1"/>
      </w:tblPr>
      <w:tblGrid>
        <w:gridCol w:w="1462"/>
        <w:gridCol w:w="1778"/>
        <w:gridCol w:w="1078"/>
        <w:gridCol w:w="1262"/>
        <w:gridCol w:w="1352"/>
        <w:gridCol w:w="1262"/>
        <w:gridCol w:w="1166"/>
      </w:tblGrid>
      <w:tr w:rsidR="003E5B95" w:rsidRPr="008A6A6E" w14:paraId="5C379CFB" w14:textId="77777777" w:rsidTr="003E5B95">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81" w:type="pct"/>
            <w:tcBorders>
              <w:top w:val="single" w:sz="4" w:space="0" w:color="auto"/>
              <w:bottom w:val="single" w:sz="4" w:space="0" w:color="auto"/>
              <w:right w:val="single" w:sz="4" w:space="0" w:color="auto"/>
            </w:tcBorders>
          </w:tcPr>
          <w:p w14:paraId="5FEEF484"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Constructs</w:t>
            </w:r>
          </w:p>
        </w:tc>
        <w:tc>
          <w:tcPr>
            <w:tcW w:w="950" w:type="pct"/>
            <w:tcBorders>
              <w:top w:val="single" w:sz="4" w:space="0" w:color="auto"/>
              <w:left w:val="single" w:sz="4" w:space="0" w:color="auto"/>
              <w:bottom w:val="single" w:sz="4" w:space="0" w:color="auto"/>
            </w:tcBorders>
          </w:tcPr>
          <w:p w14:paraId="6D274EBE"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Mean (S.D.)</w:t>
            </w:r>
          </w:p>
        </w:tc>
        <w:tc>
          <w:tcPr>
            <w:tcW w:w="576" w:type="pct"/>
            <w:tcBorders>
              <w:top w:val="single" w:sz="4" w:space="0" w:color="auto"/>
              <w:bottom w:val="single" w:sz="4" w:space="0" w:color="auto"/>
            </w:tcBorders>
            <w:hideMark/>
          </w:tcPr>
          <w:p w14:paraId="1804CF01"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REL</w:t>
            </w:r>
          </w:p>
        </w:tc>
        <w:tc>
          <w:tcPr>
            <w:tcW w:w="674" w:type="pct"/>
            <w:tcBorders>
              <w:top w:val="single" w:sz="4" w:space="0" w:color="auto"/>
              <w:bottom w:val="single" w:sz="4" w:space="0" w:color="auto"/>
            </w:tcBorders>
            <w:hideMark/>
          </w:tcPr>
          <w:p w14:paraId="0B861622"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CHSTRS</w:t>
            </w:r>
          </w:p>
        </w:tc>
        <w:tc>
          <w:tcPr>
            <w:tcW w:w="722" w:type="pct"/>
            <w:tcBorders>
              <w:top w:val="single" w:sz="4" w:space="0" w:color="auto"/>
              <w:bottom w:val="single" w:sz="4" w:space="0" w:color="auto"/>
            </w:tcBorders>
            <w:hideMark/>
          </w:tcPr>
          <w:p w14:paraId="320BD5BE"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HINSTRS</w:t>
            </w:r>
          </w:p>
        </w:tc>
        <w:tc>
          <w:tcPr>
            <w:tcW w:w="674" w:type="pct"/>
            <w:tcBorders>
              <w:top w:val="single" w:sz="4" w:space="0" w:color="auto"/>
              <w:bottom w:val="single" w:sz="4" w:space="0" w:color="auto"/>
            </w:tcBorders>
            <w:hideMark/>
          </w:tcPr>
          <w:p w14:paraId="0B13A721"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PFS</w:t>
            </w:r>
          </w:p>
        </w:tc>
        <w:tc>
          <w:tcPr>
            <w:tcW w:w="623" w:type="pct"/>
            <w:tcBorders>
              <w:top w:val="single" w:sz="4" w:space="0" w:color="auto"/>
              <w:bottom w:val="single" w:sz="4" w:space="0" w:color="auto"/>
            </w:tcBorders>
            <w:hideMark/>
          </w:tcPr>
          <w:p w14:paraId="0BFF4CF2"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EFC</w:t>
            </w:r>
          </w:p>
        </w:tc>
      </w:tr>
      <w:tr w:rsidR="003E5B95" w:rsidRPr="008A6A6E" w14:paraId="5991BC70" w14:textId="77777777" w:rsidTr="003E5B95">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81" w:type="pct"/>
            <w:tcBorders>
              <w:top w:val="single" w:sz="4" w:space="0" w:color="auto"/>
              <w:right w:val="single" w:sz="4" w:space="0" w:color="auto"/>
            </w:tcBorders>
          </w:tcPr>
          <w:p w14:paraId="5C8E2472"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REL</w:t>
            </w:r>
          </w:p>
        </w:tc>
        <w:tc>
          <w:tcPr>
            <w:tcW w:w="950" w:type="pct"/>
            <w:tcBorders>
              <w:top w:val="single" w:sz="4" w:space="0" w:color="auto"/>
              <w:left w:val="single" w:sz="4" w:space="0" w:color="auto"/>
            </w:tcBorders>
          </w:tcPr>
          <w:p w14:paraId="54190C65"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11.049 (2.860)</w:t>
            </w:r>
          </w:p>
        </w:tc>
        <w:tc>
          <w:tcPr>
            <w:tcW w:w="576" w:type="pct"/>
            <w:tcBorders>
              <w:top w:val="single" w:sz="4" w:space="0" w:color="auto"/>
            </w:tcBorders>
            <w:shd w:val="clear" w:color="auto" w:fill="000000" w:themeFill="text1"/>
            <w:hideMark/>
          </w:tcPr>
          <w:p w14:paraId="5FFD5681"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p>
        </w:tc>
        <w:tc>
          <w:tcPr>
            <w:tcW w:w="674" w:type="pct"/>
            <w:tcBorders>
              <w:top w:val="single" w:sz="4" w:space="0" w:color="auto"/>
            </w:tcBorders>
            <w:hideMark/>
          </w:tcPr>
          <w:p w14:paraId="14EC8E93"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722" w:type="pct"/>
            <w:tcBorders>
              <w:top w:val="single" w:sz="4" w:space="0" w:color="auto"/>
            </w:tcBorders>
            <w:hideMark/>
          </w:tcPr>
          <w:p w14:paraId="52264C9B"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74" w:type="pct"/>
            <w:tcBorders>
              <w:top w:val="single" w:sz="4" w:space="0" w:color="auto"/>
            </w:tcBorders>
            <w:hideMark/>
          </w:tcPr>
          <w:p w14:paraId="2255C0C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23" w:type="pct"/>
            <w:tcBorders>
              <w:top w:val="single" w:sz="4" w:space="0" w:color="auto"/>
            </w:tcBorders>
            <w:hideMark/>
          </w:tcPr>
          <w:p w14:paraId="4ED196C4"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0713CBCA" w14:textId="77777777" w:rsidTr="003E5B95">
        <w:trPr>
          <w:trHeight w:val="317"/>
        </w:trPr>
        <w:tc>
          <w:tcPr>
            <w:cnfStyle w:val="001000000000" w:firstRow="0" w:lastRow="0" w:firstColumn="1" w:lastColumn="0" w:oddVBand="0" w:evenVBand="0" w:oddHBand="0" w:evenHBand="0" w:firstRowFirstColumn="0" w:firstRowLastColumn="0" w:lastRowFirstColumn="0" w:lastRowLastColumn="0"/>
            <w:tcW w:w="781" w:type="pct"/>
            <w:tcBorders>
              <w:right w:val="single" w:sz="4" w:space="0" w:color="auto"/>
            </w:tcBorders>
          </w:tcPr>
          <w:p w14:paraId="46F6E95B"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CHSTRS</w:t>
            </w:r>
          </w:p>
        </w:tc>
        <w:tc>
          <w:tcPr>
            <w:tcW w:w="950" w:type="pct"/>
            <w:tcBorders>
              <w:left w:val="single" w:sz="4" w:space="0" w:color="auto"/>
            </w:tcBorders>
          </w:tcPr>
          <w:p w14:paraId="09632BA4"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16.75 (2.698)</w:t>
            </w:r>
          </w:p>
        </w:tc>
        <w:tc>
          <w:tcPr>
            <w:tcW w:w="576" w:type="pct"/>
            <w:hideMark/>
          </w:tcPr>
          <w:p w14:paraId="3C8DF56A"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0.257</w:t>
            </w:r>
          </w:p>
        </w:tc>
        <w:tc>
          <w:tcPr>
            <w:tcW w:w="674" w:type="pct"/>
            <w:shd w:val="clear" w:color="auto" w:fill="000000" w:themeFill="text1"/>
            <w:hideMark/>
          </w:tcPr>
          <w:p w14:paraId="2D0CBE3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722" w:type="pct"/>
            <w:hideMark/>
          </w:tcPr>
          <w:p w14:paraId="5CEB4F73"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74" w:type="pct"/>
            <w:hideMark/>
          </w:tcPr>
          <w:p w14:paraId="4A53E371"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23" w:type="pct"/>
            <w:hideMark/>
          </w:tcPr>
          <w:p w14:paraId="0F4938C6"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4559560B" w14:textId="77777777" w:rsidTr="003E5B95">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81" w:type="pct"/>
            <w:tcBorders>
              <w:right w:val="single" w:sz="4" w:space="0" w:color="auto"/>
            </w:tcBorders>
          </w:tcPr>
          <w:p w14:paraId="1D7DBF47"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HINSTRS</w:t>
            </w:r>
          </w:p>
        </w:tc>
        <w:tc>
          <w:tcPr>
            <w:tcW w:w="950" w:type="pct"/>
            <w:tcBorders>
              <w:left w:val="single" w:sz="4" w:space="0" w:color="auto"/>
            </w:tcBorders>
          </w:tcPr>
          <w:p w14:paraId="7C1FD7CA"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7.704 (3.998)</w:t>
            </w:r>
          </w:p>
        </w:tc>
        <w:tc>
          <w:tcPr>
            <w:tcW w:w="576" w:type="pct"/>
            <w:hideMark/>
          </w:tcPr>
          <w:p w14:paraId="6CA647C8"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0.431</w:t>
            </w:r>
          </w:p>
        </w:tc>
        <w:tc>
          <w:tcPr>
            <w:tcW w:w="674" w:type="pct"/>
            <w:hideMark/>
          </w:tcPr>
          <w:p w14:paraId="421CB6F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0.192</w:t>
            </w:r>
          </w:p>
        </w:tc>
        <w:tc>
          <w:tcPr>
            <w:tcW w:w="722" w:type="pct"/>
            <w:shd w:val="clear" w:color="auto" w:fill="000000" w:themeFill="text1"/>
            <w:hideMark/>
          </w:tcPr>
          <w:p w14:paraId="62A436E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74" w:type="pct"/>
            <w:hideMark/>
          </w:tcPr>
          <w:p w14:paraId="50DB7B4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23" w:type="pct"/>
            <w:hideMark/>
          </w:tcPr>
          <w:p w14:paraId="0F1575EA"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0064E2A0" w14:textId="77777777" w:rsidTr="003E5B95">
        <w:trPr>
          <w:trHeight w:val="317"/>
        </w:trPr>
        <w:tc>
          <w:tcPr>
            <w:cnfStyle w:val="001000000000" w:firstRow="0" w:lastRow="0" w:firstColumn="1" w:lastColumn="0" w:oddVBand="0" w:evenVBand="0" w:oddHBand="0" w:evenHBand="0" w:firstRowFirstColumn="0" w:firstRowLastColumn="0" w:lastRowFirstColumn="0" w:lastRowLastColumn="0"/>
            <w:tcW w:w="781" w:type="pct"/>
            <w:tcBorders>
              <w:right w:val="single" w:sz="4" w:space="0" w:color="auto"/>
            </w:tcBorders>
          </w:tcPr>
          <w:p w14:paraId="0F46BB24"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PFS</w:t>
            </w:r>
          </w:p>
        </w:tc>
        <w:tc>
          <w:tcPr>
            <w:tcW w:w="950" w:type="pct"/>
            <w:tcBorders>
              <w:left w:val="single" w:sz="4" w:space="0" w:color="auto"/>
            </w:tcBorders>
          </w:tcPr>
          <w:p w14:paraId="27861112"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44.745 (6.567)</w:t>
            </w:r>
          </w:p>
        </w:tc>
        <w:tc>
          <w:tcPr>
            <w:tcW w:w="576" w:type="pct"/>
            <w:hideMark/>
          </w:tcPr>
          <w:p w14:paraId="5D49B3D5"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0.335</w:t>
            </w:r>
          </w:p>
        </w:tc>
        <w:tc>
          <w:tcPr>
            <w:tcW w:w="674" w:type="pct"/>
            <w:hideMark/>
          </w:tcPr>
          <w:p w14:paraId="6F84D97A"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0.846</w:t>
            </w:r>
          </w:p>
        </w:tc>
        <w:tc>
          <w:tcPr>
            <w:tcW w:w="722" w:type="pct"/>
            <w:hideMark/>
          </w:tcPr>
          <w:p w14:paraId="56981B20"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0.126</w:t>
            </w:r>
          </w:p>
        </w:tc>
        <w:tc>
          <w:tcPr>
            <w:tcW w:w="674" w:type="pct"/>
            <w:shd w:val="clear" w:color="auto" w:fill="000000" w:themeFill="text1"/>
            <w:hideMark/>
          </w:tcPr>
          <w:p w14:paraId="24557391"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623" w:type="pct"/>
            <w:hideMark/>
          </w:tcPr>
          <w:p w14:paraId="7D3F4C73"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5A3EB388" w14:textId="77777777" w:rsidTr="003E5B95">
        <w:trPr>
          <w:cnfStyle w:val="000000100000" w:firstRow="0" w:lastRow="0" w:firstColumn="0" w:lastColumn="0" w:oddVBand="0" w:evenVBand="0" w:oddHBand="1"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81" w:type="pct"/>
            <w:tcBorders>
              <w:right w:val="single" w:sz="4" w:space="0" w:color="auto"/>
            </w:tcBorders>
          </w:tcPr>
          <w:p w14:paraId="3956B791"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EFC</w:t>
            </w:r>
          </w:p>
        </w:tc>
        <w:tc>
          <w:tcPr>
            <w:tcW w:w="950" w:type="pct"/>
            <w:tcBorders>
              <w:left w:val="single" w:sz="4" w:space="0" w:color="auto"/>
            </w:tcBorders>
          </w:tcPr>
          <w:p w14:paraId="4ECD0C4B"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50.734 (18.253)</w:t>
            </w:r>
          </w:p>
        </w:tc>
        <w:tc>
          <w:tcPr>
            <w:tcW w:w="576" w:type="pct"/>
            <w:hideMark/>
          </w:tcPr>
          <w:p w14:paraId="2B5D8093"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0.544</w:t>
            </w:r>
          </w:p>
        </w:tc>
        <w:tc>
          <w:tcPr>
            <w:tcW w:w="674" w:type="pct"/>
            <w:hideMark/>
          </w:tcPr>
          <w:p w14:paraId="3D1A4D63"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0.031</w:t>
            </w:r>
          </w:p>
        </w:tc>
        <w:tc>
          <w:tcPr>
            <w:tcW w:w="722" w:type="pct"/>
            <w:hideMark/>
          </w:tcPr>
          <w:p w14:paraId="35179B78"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0.72</w:t>
            </w:r>
          </w:p>
        </w:tc>
        <w:tc>
          <w:tcPr>
            <w:tcW w:w="674" w:type="pct"/>
            <w:hideMark/>
          </w:tcPr>
          <w:p w14:paraId="65B40F87"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0.015</w:t>
            </w:r>
          </w:p>
        </w:tc>
        <w:tc>
          <w:tcPr>
            <w:tcW w:w="623" w:type="pct"/>
            <w:shd w:val="clear" w:color="auto" w:fill="000000" w:themeFill="text1"/>
            <w:hideMark/>
          </w:tcPr>
          <w:p w14:paraId="47C48C14"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540D98B9" w14:textId="77777777" w:rsidTr="003E5B95">
        <w:trPr>
          <w:trHeight w:val="317"/>
        </w:trPr>
        <w:tc>
          <w:tcPr>
            <w:cnfStyle w:val="001000000000" w:firstRow="0" w:lastRow="0" w:firstColumn="1" w:lastColumn="0" w:oddVBand="0" w:evenVBand="0" w:oddHBand="0" w:evenHBand="0" w:firstRowFirstColumn="0" w:firstRowLastColumn="0" w:lastRowFirstColumn="0" w:lastRowLastColumn="0"/>
            <w:tcW w:w="781" w:type="pct"/>
            <w:tcBorders>
              <w:bottom w:val="single" w:sz="4" w:space="0" w:color="auto"/>
              <w:right w:val="single" w:sz="4" w:space="0" w:color="auto"/>
            </w:tcBorders>
          </w:tcPr>
          <w:p w14:paraId="327A4133" w14:textId="77777777" w:rsidR="003E5B95" w:rsidRPr="008A6A6E" w:rsidRDefault="003E5B95" w:rsidP="003E5B95">
            <w:pPr>
              <w:keepNext/>
              <w:spacing w:line="240" w:lineRule="auto"/>
              <w:ind w:firstLine="0"/>
              <w:contextualSpacing w:val="0"/>
              <w:rPr>
                <w:rFonts w:cs="Times New Roman"/>
                <w:b w:val="0"/>
                <w:bCs w:val="0"/>
                <w:color w:val="000000"/>
                <w:kern w:val="0"/>
                <w:szCs w:val="24"/>
                <w:lang w:eastAsia="en-US"/>
              </w:rPr>
            </w:pPr>
            <w:r w:rsidRPr="008A6A6E">
              <w:rPr>
                <w:rFonts w:cs="Times New Roman"/>
                <w:b w:val="0"/>
                <w:bCs w:val="0"/>
                <w:color w:val="000000"/>
                <w:kern w:val="0"/>
                <w:szCs w:val="24"/>
                <w:lang w:eastAsia="en-US"/>
              </w:rPr>
              <w:t>CTRL</w:t>
            </w:r>
          </w:p>
        </w:tc>
        <w:tc>
          <w:tcPr>
            <w:tcW w:w="950" w:type="pct"/>
            <w:tcBorders>
              <w:left w:val="single" w:sz="4" w:space="0" w:color="auto"/>
              <w:bottom w:val="single" w:sz="4" w:space="0" w:color="auto"/>
            </w:tcBorders>
          </w:tcPr>
          <w:p w14:paraId="1723FE5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25.431 (3.865)</w:t>
            </w:r>
          </w:p>
        </w:tc>
        <w:tc>
          <w:tcPr>
            <w:tcW w:w="576" w:type="pct"/>
            <w:tcBorders>
              <w:bottom w:val="single" w:sz="4" w:space="0" w:color="auto"/>
            </w:tcBorders>
            <w:hideMark/>
          </w:tcPr>
          <w:p w14:paraId="5AE248DE"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0.201</w:t>
            </w:r>
          </w:p>
        </w:tc>
        <w:tc>
          <w:tcPr>
            <w:tcW w:w="674" w:type="pct"/>
            <w:tcBorders>
              <w:bottom w:val="single" w:sz="4" w:space="0" w:color="auto"/>
            </w:tcBorders>
            <w:hideMark/>
          </w:tcPr>
          <w:p w14:paraId="36125BFE"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0.827</w:t>
            </w:r>
          </w:p>
        </w:tc>
        <w:tc>
          <w:tcPr>
            <w:tcW w:w="722" w:type="pct"/>
            <w:tcBorders>
              <w:bottom w:val="single" w:sz="4" w:space="0" w:color="auto"/>
            </w:tcBorders>
            <w:hideMark/>
          </w:tcPr>
          <w:p w14:paraId="795FF5F6"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0.33</w:t>
            </w:r>
          </w:p>
        </w:tc>
        <w:tc>
          <w:tcPr>
            <w:tcW w:w="674" w:type="pct"/>
            <w:tcBorders>
              <w:bottom w:val="single" w:sz="4" w:space="0" w:color="auto"/>
            </w:tcBorders>
            <w:hideMark/>
          </w:tcPr>
          <w:p w14:paraId="716BE4A3"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0.846</w:t>
            </w:r>
          </w:p>
        </w:tc>
        <w:tc>
          <w:tcPr>
            <w:tcW w:w="623" w:type="pct"/>
            <w:tcBorders>
              <w:bottom w:val="single" w:sz="4" w:space="0" w:color="auto"/>
            </w:tcBorders>
            <w:hideMark/>
          </w:tcPr>
          <w:p w14:paraId="532F2E3C"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0.165</w:t>
            </w:r>
          </w:p>
        </w:tc>
      </w:tr>
    </w:tbl>
    <w:p w14:paraId="28A8E4C0" w14:textId="77777777" w:rsidR="003E5B95" w:rsidRPr="008A6A6E" w:rsidRDefault="003E5B95" w:rsidP="003E5B95">
      <w:pPr>
        <w:keepNext/>
        <w:spacing w:after="160" w:line="240" w:lineRule="auto"/>
        <w:ind w:firstLine="0"/>
        <w:contextualSpacing w:val="0"/>
        <w:rPr>
          <w:rFonts w:cs="Times New Roman"/>
          <w:kern w:val="0"/>
          <w:szCs w:val="24"/>
          <w:lang w:eastAsia="en-US"/>
        </w:rPr>
      </w:pPr>
      <w:r w:rsidRPr="008A6A6E">
        <w:rPr>
          <w:rFonts w:cs="Times New Roman"/>
          <w:kern w:val="0"/>
          <w:szCs w:val="24"/>
          <w:lang w:eastAsia="en-US"/>
        </w:rPr>
        <w:t>Standard deviation (S.D.); Relevance (REL); Challenge stress (CHSTRS); Hindrance stress (HINSTRS); Problem-focused savoring (PFS); Emotion-focused coping (EFC); Control (CTRL)</w:t>
      </w:r>
    </w:p>
    <w:p w14:paraId="5A8FB5CB" w14:textId="70E5A74F" w:rsidR="003E5B95" w:rsidRDefault="003E5B95" w:rsidP="00A20AAF">
      <w:pPr>
        <w:spacing w:before="240"/>
        <w:contextualSpacing w:val="0"/>
        <w:rPr>
          <w:lang w:eastAsia="en-US"/>
        </w:rPr>
      </w:pPr>
      <w:r w:rsidRPr="00AC29E4">
        <w:rPr>
          <w:rFonts w:cs="Times New Roman"/>
          <w:kern w:val="0"/>
          <w:szCs w:val="24"/>
          <w:lang w:eastAsia="en-US"/>
        </w:rPr>
        <w:t xml:space="preserve">It should be noted that we used prior guidance on modeling formative and reflective constructs to model EFC and PFS as reflective constructs, as opposed to formative constructs </w:t>
      </w:r>
      <w:r w:rsidRPr="00AC29E4">
        <w:rPr>
          <w:rFonts w:cs="Times New Roman"/>
          <w:noProof/>
          <w:kern w:val="0"/>
          <w:szCs w:val="24"/>
          <w:lang w:eastAsia="en-US"/>
        </w:rPr>
        <w:t>(Jarvis et al., 2003; MacKenzie et al., 2011; Petter et al., 2007)</w:t>
      </w:r>
      <w:r w:rsidRPr="00AC29E4">
        <w:rPr>
          <w:rFonts w:cs="Times New Roman"/>
          <w:kern w:val="0"/>
          <w:szCs w:val="24"/>
          <w:lang w:eastAsia="en-US"/>
        </w:rPr>
        <w:t xml:space="preserve">. Jarvis et al. (2003) suggest that if the indicators of a construct are 1) interchangeable, 2) positively correlated, 3) covary, 4) and if dropping an item improves the construct validity, and 5) the nomological net indicators share the same antecedents, the constructs should be modeled as reflective rather than formative constructs. Applying these criteria to our data, the different types </w:t>
      </w:r>
      <w:r w:rsidRPr="00AC29E4">
        <w:rPr>
          <w:rFonts w:cs="Times New Roman"/>
          <w:color w:val="000000" w:themeColor="text1"/>
          <w:kern w:val="0"/>
          <w:szCs w:val="24"/>
          <w:lang w:eastAsia="en-US"/>
        </w:rPr>
        <w:t xml:space="preserve">of EFC responses </w:t>
      </w:r>
      <w:r w:rsidRPr="00AC29E4">
        <w:rPr>
          <w:rFonts w:cs="Times New Roman"/>
          <w:kern w:val="0"/>
          <w:szCs w:val="24"/>
          <w:lang w:eastAsia="en-US"/>
        </w:rPr>
        <w:t xml:space="preserve">(emotional support seeking, venting, denial, psychological distancing, and wishful thinking) are positively correlated with one another. Similarly, different strategies of PFS, work adaptation, technology adaptation, and self-adaptation are positively correlated. We removed a few items from the individual measures of EFC and PFS to improve their construct validity (see Appendix </w:t>
      </w:r>
      <w:r w:rsidR="00D048B6">
        <w:rPr>
          <w:rFonts w:cs="Times New Roman"/>
          <w:kern w:val="0"/>
          <w:szCs w:val="24"/>
          <w:lang w:eastAsia="en-US"/>
        </w:rPr>
        <w:t xml:space="preserve">I </w:t>
      </w:r>
      <w:r w:rsidRPr="00AC29E4">
        <w:rPr>
          <w:rFonts w:cs="Times New Roman"/>
          <w:kern w:val="0"/>
          <w:szCs w:val="24"/>
          <w:lang w:eastAsia="en-US"/>
        </w:rPr>
        <w:t xml:space="preserve">for the survey instrument and the items that were removed). Most importantly, both EFC and PFS share common antecedents in the nomological net, that is, the experience of challenge and hindrance </w:t>
      </w:r>
      <w:r w:rsidRPr="00AC29E4">
        <w:rPr>
          <w:rFonts w:cs="Times New Roman"/>
          <w:kern w:val="0"/>
          <w:szCs w:val="24"/>
          <w:lang w:eastAsia="en-US"/>
        </w:rPr>
        <w:lastRenderedPageBreak/>
        <w:t xml:space="preserve">stress by a cybersecurity professional as they implement and/or maintain EMS technologies within their organization. This evidence provides a valid rationale for modeling them as reflective second-order constructs in our model. Also, prior research has noted that the second-order formative and second-order reflective models of EFC are comparable </w:t>
      </w:r>
      <w:r w:rsidRPr="00AC29E4">
        <w:rPr>
          <w:rFonts w:cs="Times New Roman"/>
          <w:noProof/>
          <w:kern w:val="0"/>
          <w:szCs w:val="24"/>
          <w:lang w:eastAsia="en-US"/>
        </w:rPr>
        <w:t>(Liang et al., 2019)</w:t>
      </w:r>
      <w:r w:rsidRPr="00AC29E4">
        <w:rPr>
          <w:rFonts w:cs="Times New Roman"/>
          <w:kern w:val="0"/>
          <w:szCs w:val="24"/>
          <w:lang w:eastAsia="en-US"/>
        </w:rPr>
        <w:t>.</w:t>
      </w:r>
    </w:p>
    <w:p w14:paraId="563E0862" w14:textId="2819416F" w:rsidR="003E5B95" w:rsidRPr="00AC29E4" w:rsidRDefault="003E5B95" w:rsidP="00B73D48">
      <w:pPr>
        <w:spacing w:before="240" w:after="160"/>
        <w:ind w:firstLine="0"/>
        <w:contextualSpacing w:val="0"/>
        <w:rPr>
          <w:rFonts w:cs="Times New Roman"/>
          <w:kern w:val="0"/>
          <w:szCs w:val="24"/>
          <w:lang w:eastAsia="en-US"/>
        </w:rPr>
      </w:pPr>
      <w:r w:rsidRPr="00AC29E4">
        <w:rPr>
          <w:rFonts w:cs="Times New Roman"/>
          <w:kern w:val="0"/>
          <w:szCs w:val="24"/>
          <w:lang w:eastAsia="en-US"/>
        </w:rPr>
        <w:t xml:space="preserve">Stage II of the research model involves testing hypotheses H4 (a and b) and H5 (a and b), which test the extent of </w:t>
      </w:r>
      <w:r>
        <w:rPr>
          <w:rFonts w:cs="Times New Roman"/>
          <w:kern w:val="0"/>
          <w:szCs w:val="24"/>
          <w:lang w:eastAsia="en-US"/>
        </w:rPr>
        <w:t xml:space="preserve">the </w:t>
      </w:r>
      <w:r w:rsidRPr="00AC29E4">
        <w:rPr>
          <w:rFonts w:cs="Times New Roman"/>
          <w:kern w:val="0"/>
          <w:szCs w:val="24"/>
          <w:lang w:eastAsia="en-US"/>
        </w:rPr>
        <w:t xml:space="preserve">challenge and hindrance stress that cybersecurity professionals experience from the implementation and/or maintenance of EMS technologies and their control over them. </w:t>
      </w:r>
      <w:r w:rsidRPr="00AC29E4">
        <w:rPr>
          <w:rFonts w:cs="Times New Roman"/>
          <w:szCs w:val="24"/>
        </w:rPr>
        <w:t xml:space="preserve">Because </w:t>
      </w:r>
      <w:r w:rsidRPr="00AC29E4">
        <w:rPr>
          <w:rFonts w:cs="Times New Roman"/>
          <w:kern w:val="0"/>
          <w:szCs w:val="24"/>
          <w:lang w:eastAsia="en-US"/>
        </w:rPr>
        <w:t xml:space="preserve">we are testing a process model where the results of one stage of the model serve as an independent variable for the next stage of the model, the predicted scores for relevance are used as an independent variable in the Stage II model. Because the predicted score of relevance already accounts for the effects of the control variables and personality traits, these variables are not included in this Stage II model. Table </w:t>
      </w:r>
      <w:r>
        <w:rPr>
          <w:rFonts w:cs="Times New Roman"/>
          <w:kern w:val="0"/>
          <w:szCs w:val="24"/>
          <w:lang w:eastAsia="en-US"/>
        </w:rPr>
        <w:t>8</w:t>
      </w:r>
      <w:r w:rsidRPr="00AC29E4">
        <w:rPr>
          <w:rFonts w:cs="Times New Roman"/>
          <w:kern w:val="0"/>
          <w:szCs w:val="24"/>
          <w:lang w:eastAsia="en-US"/>
        </w:rPr>
        <w:t xml:space="preserve"> shows the results of this Stage II analysis. The </w:t>
      </w:r>
      <w:r>
        <w:rPr>
          <w:rFonts w:cs="Times New Roman"/>
          <w:kern w:val="0"/>
          <w:szCs w:val="24"/>
          <w:lang w:eastAsia="en-US"/>
        </w:rPr>
        <w:t>second</w:t>
      </w:r>
      <w:r w:rsidRPr="00AC29E4">
        <w:rPr>
          <w:rFonts w:cs="Times New Roman"/>
          <w:kern w:val="0"/>
          <w:szCs w:val="24"/>
          <w:lang w:eastAsia="en-US"/>
        </w:rPr>
        <w:t xml:space="preserve"> column in the table shows the results in support of hypotheses H4 (a and b). This testing involves the full sample (N = 267) of cybersecurity professionals, and the results show that the relevance of EMS technologies ha</w:t>
      </w:r>
      <w:r>
        <w:rPr>
          <w:rFonts w:cs="Times New Roman"/>
          <w:kern w:val="0"/>
          <w:szCs w:val="24"/>
          <w:lang w:eastAsia="en-US"/>
        </w:rPr>
        <w:t>s</w:t>
      </w:r>
      <w:r w:rsidRPr="00AC29E4">
        <w:rPr>
          <w:rFonts w:cs="Times New Roman"/>
          <w:kern w:val="0"/>
          <w:szCs w:val="24"/>
          <w:lang w:eastAsia="en-US"/>
        </w:rPr>
        <w:t xml:space="preserve"> a significant, positive main effect on their experience of challenge stress (</w:t>
      </w:r>
      <w:r w:rsidRPr="00AC29E4">
        <w:rPr>
          <w:rFonts w:cs="Times New Roman"/>
          <w:i/>
          <w:iCs/>
          <w:kern w:val="0"/>
          <w:szCs w:val="24"/>
          <w:lang w:eastAsia="en-US"/>
        </w:rPr>
        <w:t>p</w:t>
      </w:r>
      <w:r w:rsidRPr="00AC29E4">
        <w:rPr>
          <w:rFonts w:cs="Times New Roman"/>
          <w:kern w:val="0"/>
          <w:szCs w:val="24"/>
          <w:lang w:eastAsia="en-US"/>
        </w:rPr>
        <w:t xml:space="preserve"> &lt;.001) and hindrance stress (</w:t>
      </w:r>
      <w:r w:rsidRPr="00AC29E4">
        <w:rPr>
          <w:rFonts w:cs="Times New Roman"/>
          <w:i/>
          <w:iCs/>
          <w:kern w:val="0"/>
          <w:szCs w:val="24"/>
          <w:lang w:eastAsia="en-US"/>
        </w:rPr>
        <w:t>p</w:t>
      </w:r>
      <w:r w:rsidRPr="00AC29E4">
        <w:rPr>
          <w:rFonts w:cs="Times New Roman"/>
          <w:kern w:val="0"/>
          <w:szCs w:val="24"/>
          <w:lang w:eastAsia="en-US"/>
        </w:rPr>
        <w:t xml:space="preserve"> &lt;</w:t>
      </w:r>
      <w:r w:rsidR="00C52E69">
        <w:rPr>
          <w:rFonts w:cs="Times New Roman"/>
          <w:kern w:val="0"/>
          <w:szCs w:val="24"/>
          <w:lang w:eastAsia="en-US"/>
        </w:rPr>
        <w:t>.</w:t>
      </w:r>
      <w:r w:rsidRPr="00AC29E4">
        <w:rPr>
          <w:rFonts w:cs="Times New Roman"/>
          <w:kern w:val="0"/>
          <w:szCs w:val="24"/>
          <w:lang w:eastAsia="en-US"/>
        </w:rPr>
        <w:t xml:space="preserve">001). </w:t>
      </w:r>
      <w:r w:rsidR="00B73D48" w:rsidRPr="00AC29E4">
        <w:rPr>
          <w:rFonts w:cs="Times New Roman"/>
          <w:kern w:val="0"/>
          <w:szCs w:val="24"/>
          <w:lang w:eastAsia="en-US"/>
        </w:rPr>
        <w:t xml:space="preserve">To test if the difference in beta weights between hindrance stress and challenge stress is significant, we performed a comparison of the standardized beta weights (comparison of </w:t>
      </w:r>
      <w:r w:rsidR="00B73D48" w:rsidRPr="00AC29E4">
        <w:rPr>
          <w:rFonts w:cs="Times New Roman"/>
          <w:i/>
          <w:iCs/>
          <w:kern w:val="0"/>
          <w:szCs w:val="24"/>
          <w:lang w:eastAsia="en-US"/>
        </w:rPr>
        <w:t>β</w:t>
      </w:r>
      <w:r w:rsidR="00B73D48" w:rsidRPr="00AC29E4">
        <w:rPr>
          <w:rFonts w:cs="Times New Roman"/>
          <w:kern w:val="0"/>
          <w:szCs w:val="24"/>
          <w:lang w:eastAsia="en-US"/>
        </w:rPr>
        <w:t xml:space="preserve"> = 0.436 </w:t>
      </w:r>
      <w:r w:rsidR="00B73D48" w:rsidRPr="00AC29E4">
        <w:rPr>
          <w:rFonts w:cs="Times New Roman"/>
          <w:i/>
          <w:iCs/>
          <w:kern w:val="0"/>
          <w:szCs w:val="24"/>
          <w:lang w:eastAsia="en-US"/>
        </w:rPr>
        <w:t>vs</w:t>
      </w:r>
      <w:r w:rsidR="00B73D48" w:rsidRPr="00AC29E4">
        <w:rPr>
          <w:rFonts w:cs="Times New Roman"/>
          <w:kern w:val="0"/>
          <w:szCs w:val="24"/>
          <w:lang w:eastAsia="en-US"/>
        </w:rPr>
        <w:t xml:space="preserve"> </w:t>
      </w:r>
      <w:r w:rsidR="00B73D48" w:rsidRPr="00AC29E4">
        <w:rPr>
          <w:rFonts w:cs="Times New Roman"/>
          <w:i/>
          <w:iCs/>
          <w:kern w:val="0"/>
          <w:szCs w:val="24"/>
          <w:lang w:eastAsia="en-US"/>
        </w:rPr>
        <w:t>β</w:t>
      </w:r>
      <w:r w:rsidR="00B73D48" w:rsidRPr="00AC29E4">
        <w:rPr>
          <w:rFonts w:cs="Times New Roman"/>
          <w:kern w:val="0"/>
          <w:szCs w:val="24"/>
          <w:lang w:eastAsia="en-US"/>
        </w:rPr>
        <w:t xml:space="preserve"> = 0.293). The beta weights are significantly different from each other (</w:t>
      </w:r>
      <w:r w:rsidR="00B73D48" w:rsidRPr="00AC29E4">
        <w:rPr>
          <w:rFonts w:cs="Times New Roman"/>
          <w:i/>
          <w:iCs/>
          <w:kern w:val="0"/>
          <w:szCs w:val="24"/>
          <w:lang w:eastAsia="en-US"/>
        </w:rPr>
        <w:t>p</w:t>
      </w:r>
      <w:r w:rsidR="00B73D48" w:rsidRPr="00AC29E4">
        <w:rPr>
          <w:rFonts w:cs="Times New Roman"/>
          <w:kern w:val="0"/>
          <w:szCs w:val="24"/>
          <w:lang w:eastAsia="en-US"/>
        </w:rPr>
        <w:t xml:space="preserve"> &lt; 0.05) if the confidence intervals overlap by less than 50% </w:t>
      </w:r>
      <w:r w:rsidR="00B73D48" w:rsidRPr="00AC29E4">
        <w:rPr>
          <w:rFonts w:cs="Times New Roman"/>
          <w:noProof/>
          <w:kern w:val="0"/>
          <w:szCs w:val="24"/>
          <w:lang w:eastAsia="en-US"/>
        </w:rPr>
        <w:t>(Cumming, 2009)</w:t>
      </w:r>
      <w:r w:rsidR="00B73D48" w:rsidRPr="00AC29E4">
        <w:rPr>
          <w:rFonts w:cs="Times New Roman"/>
          <w:kern w:val="0"/>
          <w:szCs w:val="24"/>
          <w:lang w:eastAsia="en-US"/>
        </w:rPr>
        <w:t xml:space="preserve">. To perform this comparison, their corresponding 95% confidence intervals were estimated via bias-corrected bootstrap (5,000 resample in AMOS). To evaluate the hypothesis more precisely, half of the overlapping confidence intervals were calculated (0.108) and added to the lower bound confidence interval of hindrance stress (0.335), which yielded a </w:t>
      </w:r>
      <w:r w:rsidR="00B73D48" w:rsidRPr="00AC29E4">
        <w:rPr>
          <w:rFonts w:cs="Times New Roman"/>
          <w:kern w:val="0"/>
          <w:szCs w:val="24"/>
          <w:lang w:eastAsia="en-US"/>
        </w:rPr>
        <w:lastRenderedPageBreak/>
        <w:t>value of 0.443. Because the challenge stress upper bound estimate is 0.448, which is slightly higher (.0448</w:t>
      </w:r>
      <w:r w:rsidR="00B73D48">
        <w:rPr>
          <w:rFonts w:cs="Times New Roman"/>
          <w:kern w:val="0"/>
          <w:szCs w:val="24"/>
          <w:lang w:eastAsia="en-US"/>
        </w:rPr>
        <w:softHyphen/>
        <w:t xml:space="preserve"> </w:t>
      </w:r>
      <w:r w:rsidR="00B73D48" w:rsidRPr="00AC29E4">
        <w:rPr>
          <w:rFonts w:cs="Times New Roman"/>
          <w:kern w:val="0"/>
          <w:szCs w:val="24"/>
          <w:lang w:eastAsia="en-US"/>
        </w:rPr>
        <w:t>– 0.443 =005) than 0.443, the difference in the standardized beta weights (Δ</w:t>
      </w:r>
      <w:r w:rsidR="00B73D48" w:rsidRPr="00AC29E4">
        <w:rPr>
          <w:rFonts w:cs="Times New Roman"/>
          <w:i/>
          <w:iCs/>
          <w:kern w:val="0"/>
          <w:szCs w:val="24"/>
          <w:lang w:eastAsia="en-US"/>
        </w:rPr>
        <w:t>β</w:t>
      </w:r>
      <w:r w:rsidR="00B73D48" w:rsidRPr="00AC29E4">
        <w:rPr>
          <w:rFonts w:cs="Times New Roman"/>
          <w:kern w:val="0"/>
          <w:szCs w:val="24"/>
          <w:lang w:eastAsia="en-US"/>
        </w:rPr>
        <w:t xml:space="preserve"> = 0.436 – 0.293) of hindrance stress and challenge stress (Δ</w:t>
      </w:r>
      <w:r w:rsidR="00B73D48" w:rsidRPr="00AC29E4">
        <w:rPr>
          <w:rFonts w:cs="Times New Roman"/>
          <w:i/>
          <w:iCs/>
          <w:kern w:val="0"/>
          <w:szCs w:val="24"/>
          <w:lang w:eastAsia="en-US"/>
        </w:rPr>
        <w:t>β =</w:t>
      </w:r>
      <w:r w:rsidR="00B73D48" w:rsidRPr="00AC29E4">
        <w:rPr>
          <w:rFonts w:cs="Times New Roman"/>
          <w:kern w:val="0"/>
          <w:szCs w:val="24"/>
          <w:lang w:eastAsia="en-US"/>
        </w:rPr>
        <w:t xml:space="preserve"> 0.143) is considered marginally significant (</w:t>
      </w:r>
      <w:r w:rsidR="00B73D48" w:rsidRPr="00AC29E4">
        <w:rPr>
          <w:rFonts w:cs="Times New Roman"/>
          <w:i/>
          <w:iCs/>
          <w:kern w:val="0"/>
          <w:szCs w:val="24"/>
          <w:lang w:eastAsia="en-US"/>
        </w:rPr>
        <w:t xml:space="preserve">p </w:t>
      </w:r>
      <w:r w:rsidR="00B73D48" w:rsidRPr="00AC29E4">
        <w:rPr>
          <w:rFonts w:cs="Times New Roman"/>
          <w:kern w:val="0"/>
          <w:szCs w:val="24"/>
          <w:lang w:eastAsia="en-US"/>
        </w:rPr>
        <w:t>&lt;</w:t>
      </w:r>
      <w:r w:rsidR="00B73D48">
        <w:rPr>
          <w:rFonts w:cs="Times New Roman"/>
          <w:kern w:val="0"/>
          <w:szCs w:val="24"/>
          <w:lang w:eastAsia="en-US"/>
        </w:rPr>
        <w:t>.</w:t>
      </w:r>
      <w:r w:rsidR="00B73D48" w:rsidRPr="00AC29E4">
        <w:rPr>
          <w:rFonts w:cs="Times New Roman"/>
          <w:kern w:val="0"/>
          <w:szCs w:val="24"/>
          <w:lang w:eastAsia="en-US"/>
        </w:rPr>
        <w:t xml:space="preserve">05). In other words, the beta weight for hindrance stress is marginally larger than the challenge stress. Finally, the relevance of EMS technologies explains 8.6% variance in the challenge stress (Cohen </w:t>
      </w:r>
      <w:r w:rsidR="00B73D48" w:rsidRPr="00AC29E4">
        <w:rPr>
          <w:rFonts w:cs="Times New Roman"/>
          <w:i/>
          <w:iCs/>
          <w:kern w:val="0"/>
          <w:szCs w:val="24"/>
          <w:lang w:eastAsia="en-US"/>
        </w:rPr>
        <w:t>f</w:t>
      </w:r>
      <w:r w:rsidR="00B73D48" w:rsidRPr="00AC29E4">
        <w:rPr>
          <w:rFonts w:cs="Times New Roman"/>
          <w:i/>
          <w:iCs/>
          <w:kern w:val="0"/>
          <w:szCs w:val="24"/>
          <w:vertAlign w:val="superscript"/>
          <w:lang w:eastAsia="en-US"/>
        </w:rPr>
        <w:t xml:space="preserve">2 </w:t>
      </w:r>
      <w:r w:rsidR="00B73D48" w:rsidRPr="00AC29E4">
        <w:rPr>
          <w:rFonts w:cs="Times New Roman"/>
          <w:kern w:val="0"/>
          <w:szCs w:val="24"/>
          <w:lang w:eastAsia="en-US"/>
        </w:rPr>
        <w:t xml:space="preserve">= 0.094, small effect) and 19% variance in the hindrance stress (Cohen </w:t>
      </w:r>
      <w:r w:rsidR="00B73D48" w:rsidRPr="00AC29E4">
        <w:rPr>
          <w:rFonts w:cs="Times New Roman"/>
          <w:i/>
          <w:iCs/>
          <w:kern w:val="0"/>
          <w:szCs w:val="24"/>
          <w:lang w:eastAsia="en-US"/>
        </w:rPr>
        <w:t>f</w:t>
      </w:r>
      <w:r w:rsidR="00B73D48" w:rsidRPr="00AC29E4">
        <w:rPr>
          <w:rFonts w:cs="Times New Roman"/>
          <w:i/>
          <w:iCs/>
          <w:kern w:val="0"/>
          <w:szCs w:val="24"/>
          <w:vertAlign w:val="superscript"/>
          <w:lang w:eastAsia="en-US"/>
        </w:rPr>
        <w:t xml:space="preserve">2 </w:t>
      </w:r>
      <w:r w:rsidR="00B73D48" w:rsidRPr="00AC29E4">
        <w:rPr>
          <w:rFonts w:cs="Times New Roman"/>
          <w:kern w:val="0"/>
          <w:szCs w:val="24"/>
          <w:lang w:eastAsia="en-US"/>
        </w:rPr>
        <w:t>= 0.235, medium effect).</w:t>
      </w:r>
      <w:r w:rsidR="00B73D48">
        <w:rPr>
          <w:rFonts w:cs="Times New Roman"/>
          <w:kern w:val="0"/>
          <w:szCs w:val="24"/>
          <w:lang w:eastAsia="en-US"/>
        </w:rPr>
        <w:t xml:space="preserve"> Table 9 shows the hypotheses support and effect sizes.</w:t>
      </w:r>
    </w:p>
    <w:p w14:paraId="24D47710" w14:textId="77777777" w:rsidR="003E5B95" w:rsidRDefault="003E5B95" w:rsidP="003E5B95">
      <w:pPr>
        <w:pStyle w:val="Caption"/>
        <w:keepNext/>
        <w:spacing w:line="480" w:lineRule="auto"/>
        <w:rPr>
          <w:sz w:val="24"/>
          <w:szCs w:val="24"/>
        </w:rPr>
      </w:pPr>
      <w:bookmarkStart w:id="244" w:name="_Toc73955261"/>
      <w:bookmarkStart w:id="245" w:name="_Toc74074422"/>
      <w:r w:rsidRPr="00FD6D1F">
        <w:rPr>
          <w:sz w:val="24"/>
          <w:szCs w:val="24"/>
        </w:rPr>
        <w:t xml:space="preserve">Table </w:t>
      </w:r>
      <w:r>
        <w:rPr>
          <w:sz w:val="24"/>
          <w:szCs w:val="24"/>
        </w:rPr>
        <w:t>8</w:t>
      </w:r>
      <w:r w:rsidRPr="00FD6D1F">
        <w:rPr>
          <w:sz w:val="24"/>
          <w:szCs w:val="24"/>
        </w:rPr>
        <w:t xml:space="preserve"> </w:t>
      </w:r>
      <w:bookmarkStart w:id="246" w:name="_Toc73917981"/>
    </w:p>
    <w:p w14:paraId="05E86407" w14:textId="77777777" w:rsidR="003E5B95" w:rsidRPr="00FD6D1F" w:rsidRDefault="003E5B95" w:rsidP="003E5B95">
      <w:pPr>
        <w:pStyle w:val="Caption"/>
        <w:keepNext/>
        <w:spacing w:line="480" w:lineRule="auto"/>
        <w:rPr>
          <w:b w:val="0"/>
          <w:bCs/>
          <w:i/>
          <w:iCs w:val="0"/>
          <w:sz w:val="24"/>
          <w:szCs w:val="24"/>
        </w:rPr>
      </w:pPr>
      <w:r w:rsidRPr="00FD6D1F">
        <w:rPr>
          <w:b w:val="0"/>
          <w:bCs/>
          <w:i/>
          <w:iCs w:val="0"/>
          <w:sz w:val="24"/>
          <w:szCs w:val="24"/>
        </w:rPr>
        <w:t>Stage II Model Estimation Results</w:t>
      </w:r>
      <w:bookmarkEnd w:id="244"/>
      <w:bookmarkEnd w:id="245"/>
      <w:bookmarkEnd w:id="246"/>
    </w:p>
    <w:tbl>
      <w:tblPr>
        <w:tblStyle w:val="PlainTable4"/>
        <w:tblW w:w="5000" w:type="pct"/>
        <w:tblBorders>
          <w:bottom w:val="single" w:sz="4" w:space="0" w:color="auto"/>
        </w:tblBorders>
        <w:tblLayout w:type="fixed"/>
        <w:tblLook w:val="04A0" w:firstRow="1" w:lastRow="0" w:firstColumn="1" w:lastColumn="0" w:noHBand="0" w:noVBand="1"/>
      </w:tblPr>
      <w:tblGrid>
        <w:gridCol w:w="1622"/>
        <w:gridCol w:w="987"/>
        <w:gridCol w:w="1355"/>
        <w:gridCol w:w="1258"/>
        <w:gridCol w:w="1441"/>
        <w:gridCol w:w="1355"/>
        <w:gridCol w:w="1342"/>
      </w:tblGrid>
      <w:tr w:rsidR="003E5B95" w:rsidRPr="008A6A6E" w14:paraId="7B1B9099" w14:textId="77777777" w:rsidTr="003E5B95">
        <w:trPr>
          <w:cnfStyle w:val="100000000000" w:firstRow="1" w:lastRow="0" w:firstColumn="0" w:lastColumn="0" w:oddVBand="0" w:evenVBand="0" w:oddHBand="0"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866" w:type="pct"/>
            <w:tcBorders>
              <w:top w:val="single" w:sz="4" w:space="0" w:color="auto"/>
              <w:bottom w:val="single" w:sz="4" w:space="0" w:color="auto"/>
              <w:right w:val="single" w:sz="4" w:space="0" w:color="auto"/>
            </w:tcBorders>
            <w:noWrap/>
          </w:tcPr>
          <w:p w14:paraId="3F521166"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p>
        </w:tc>
        <w:tc>
          <w:tcPr>
            <w:tcW w:w="1251" w:type="pct"/>
            <w:gridSpan w:val="2"/>
            <w:tcBorders>
              <w:top w:val="single" w:sz="4" w:space="0" w:color="auto"/>
              <w:left w:val="single" w:sz="4" w:space="0" w:color="auto"/>
              <w:bottom w:val="single" w:sz="4" w:space="0" w:color="auto"/>
            </w:tcBorders>
          </w:tcPr>
          <w:p w14:paraId="4A723A04" w14:textId="77777777" w:rsidR="003E5B95" w:rsidRPr="008A6A6E" w:rsidRDefault="003E5B95" w:rsidP="003E5B9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Test of H4 (a and b)</w:t>
            </w:r>
          </w:p>
        </w:tc>
        <w:tc>
          <w:tcPr>
            <w:tcW w:w="2882" w:type="pct"/>
            <w:gridSpan w:val="4"/>
            <w:tcBorders>
              <w:top w:val="single" w:sz="4" w:space="0" w:color="auto"/>
              <w:bottom w:val="single" w:sz="4" w:space="0" w:color="auto"/>
            </w:tcBorders>
            <w:noWrap/>
          </w:tcPr>
          <w:p w14:paraId="1B287BA1" w14:textId="77777777" w:rsidR="003E5B95" w:rsidRPr="008A6A6E" w:rsidRDefault="003E5B95" w:rsidP="003E5B9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Test of H5 (a and b)</w:t>
            </w:r>
          </w:p>
        </w:tc>
      </w:tr>
      <w:tr w:rsidR="003E5B95" w:rsidRPr="008A6A6E" w14:paraId="5EE4CBE9"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866" w:type="pct"/>
            <w:tcBorders>
              <w:top w:val="single" w:sz="4" w:space="0" w:color="auto"/>
              <w:bottom w:val="single" w:sz="4" w:space="0" w:color="auto"/>
              <w:right w:val="single" w:sz="4" w:space="0" w:color="auto"/>
            </w:tcBorders>
            <w:noWrap/>
          </w:tcPr>
          <w:p w14:paraId="6B8737DD"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p>
        </w:tc>
        <w:tc>
          <w:tcPr>
            <w:tcW w:w="1251" w:type="pct"/>
            <w:gridSpan w:val="2"/>
            <w:tcBorders>
              <w:top w:val="single" w:sz="4" w:space="0" w:color="auto"/>
              <w:left w:val="single" w:sz="4" w:space="0" w:color="auto"/>
              <w:bottom w:val="single" w:sz="4" w:space="0" w:color="auto"/>
            </w:tcBorders>
          </w:tcPr>
          <w:p w14:paraId="3D7703E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Full Model </w:t>
            </w:r>
          </w:p>
          <w:p w14:paraId="19DDC768"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 =267)</w:t>
            </w:r>
          </w:p>
        </w:tc>
        <w:tc>
          <w:tcPr>
            <w:tcW w:w="1442" w:type="pct"/>
            <w:gridSpan w:val="2"/>
            <w:tcBorders>
              <w:top w:val="single" w:sz="4" w:space="0" w:color="auto"/>
              <w:bottom w:val="single" w:sz="4" w:space="0" w:color="auto"/>
            </w:tcBorders>
            <w:noWrap/>
            <w:hideMark/>
          </w:tcPr>
          <w:p w14:paraId="6C379860"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Low Control Model </w:t>
            </w:r>
          </w:p>
          <w:p w14:paraId="2BDD928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 =117)</w:t>
            </w:r>
          </w:p>
        </w:tc>
        <w:tc>
          <w:tcPr>
            <w:tcW w:w="1441" w:type="pct"/>
            <w:gridSpan w:val="2"/>
            <w:tcBorders>
              <w:top w:val="single" w:sz="4" w:space="0" w:color="auto"/>
              <w:bottom w:val="single" w:sz="4" w:space="0" w:color="auto"/>
            </w:tcBorders>
            <w:noWrap/>
            <w:hideMark/>
          </w:tcPr>
          <w:p w14:paraId="6E4B6EC1"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High Control Model (N=150)</w:t>
            </w:r>
          </w:p>
        </w:tc>
      </w:tr>
      <w:tr w:rsidR="003E5B95" w:rsidRPr="008A6A6E" w14:paraId="3BCD9D47"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866" w:type="pct"/>
            <w:tcBorders>
              <w:top w:val="single" w:sz="4" w:space="0" w:color="auto"/>
              <w:bottom w:val="nil"/>
              <w:right w:val="single" w:sz="4" w:space="0" w:color="auto"/>
            </w:tcBorders>
            <w:hideMark/>
          </w:tcPr>
          <w:p w14:paraId="0A6F95C5"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Stage II</w:t>
            </w:r>
          </w:p>
        </w:tc>
        <w:tc>
          <w:tcPr>
            <w:tcW w:w="527" w:type="pct"/>
            <w:tcBorders>
              <w:top w:val="single" w:sz="4" w:space="0" w:color="auto"/>
              <w:left w:val="single" w:sz="4" w:space="0" w:color="auto"/>
            </w:tcBorders>
          </w:tcPr>
          <w:p w14:paraId="75D15E29"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kern w:val="0"/>
                <w:szCs w:val="24"/>
                <w:lang w:eastAsia="en-US"/>
              </w:rPr>
            </w:pPr>
            <w:r w:rsidRPr="008A6A6E">
              <w:rPr>
                <w:rFonts w:eastAsia="Times New Roman" w:cs="Times New Roman"/>
                <w:i/>
                <w:iCs/>
                <w:color w:val="000000"/>
                <w:kern w:val="0"/>
                <w:szCs w:val="24"/>
                <w:lang w:eastAsia="en-US"/>
              </w:rPr>
              <w:t>β</w:t>
            </w:r>
          </w:p>
        </w:tc>
        <w:tc>
          <w:tcPr>
            <w:tcW w:w="724" w:type="pct"/>
            <w:tcBorders>
              <w:top w:val="single" w:sz="4" w:space="0" w:color="auto"/>
            </w:tcBorders>
          </w:tcPr>
          <w:p w14:paraId="7C16428D"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i/>
                <w:iCs/>
                <w:color w:val="000000"/>
                <w:kern w:val="0"/>
                <w:szCs w:val="24"/>
                <w:lang w:eastAsia="en-US"/>
              </w:rPr>
              <w:t>p-</w:t>
            </w:r>
            <w:r w:rsidRPr="008A6A6E">
              <w:rPr>
                <w:rFonts w:eastAsia="Times New Roman" w:cs="Times New Roman"/>
                <w:color w:val="000000"/>
                <w:kern w:val="0"/>
                <w:szCs w:val="24"/>
                <w:lang w:eastAsia="en-US"/>
              </w:rPr>
              <w:t>value</w:t>
            </w:r>
          </w:p>
        </w:tc>
        <w:tc>
          <w:tcPr>
            <w:tcW w:w="672" w:type="pct"/>
            <w:tcBorders>
              <w:top w:val="single" w:sz="4" w:space="0" w:color="auto"/>
            </w:tcBorders>
            <w:hideMark/>
          </w:tcPr>
          <w:p w14:paraId="7D041E92"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kern w:val="0"/>
                <w:szCs w:val="24"/>
                <w:lang w:eastAsia="en-US"/>
              </w:rPr>
            </w:pPr>
            <w:r w:rsidRPr="008A6A6E">
              <w:rPr>
                <w:rFonts w:eastAsia="Times New Roman" w:cs="Times New Roman"/>
                <w:i/>
                <w:iCs/>
                <w:color w:val="000000"/>
                <w:kern w:val="0"/>
                <w:szCs w:val="24"/>
                <w:lang w:eastAsia="en-US"/>
              </w:rPr>
              <w:t>β</w:t>
            </w:r>
          </w:p>
        </w:tc>
        <w:tc>
          <w:tcPr>
            <w:tcW w:w="770" w:type="pct"/>
            <w:tcBorders>
              <w:top w:val="single" w:sz="4" w:space="0" w:color="auto"/>
            </w:tcBorders>
            <w:hideMark/>
          </w:tcPr>
          <w:p w14:paraId="2215B0EA"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i/>
                <w:iCs/>
                <w:color w:val="000000"/>
                <w:kern w:val="0"/>
                <w:szCs w:val="24"/>
                <w:lang w:eastAsia="en-US"/>
              </w:rPr>
              <w:t>p-</w:t>
            </w:r>
            <w:r w:rsidRPr="008A6A6E">
              <w:rPr>
                <w:rFonts w:eastAsia="Times New Roman" w:cs="Times New Roman"/>
                <w:color w:val="000000"/>
                <w:kern w:val="0"/>
                <w:szCs w:val="24"/>
                <w:lang w:eastAsia="en-US"/>
              </w:rPr>
              <w:t>value</w:t>
            </w:r>
          </w:p>
        </w:tc>
        <w:tc>
          <w:tcPr>
            <w:tcW w:w="724" w:type="pct"/>
            <w:tcBorders>
              <w:top w:val="single" w:sz="4" w:space="0" w:color="auto"/>
            </w:tcBorders>
            <w:hideMark/>
          </w:tcPr>
          <w:p w14:paraId="3530CDC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i/>
                <w:iCs/>
                <w:color w:val="000000"/>
                <w:kern w:val="0"/>
                <w:szCs w:val="24"/>
                <w:lang w:eastAsia="en-US"/>
              </w:rPr>
            </w:pPr>
            <w:r w:rsidRPr="008A6A6E">
              <w:rPr>
                <w:rFonts w:eastAsia="Times New Roman" w:cs="Times New Roman"/>
                <w:i/>
                <w:iCs/>
                <w:color w:val="000000"/>
                <w:kern w:val="0"/>
                <w:szCs w:val="24"/>
                <w:lang w:eastAsia="en-US"/>
              </w:rPr>
              <w:t>β</w:t>
            </w:r>
          </w:p>
        </w:tc>
        <w:tc>
          <w:tcPr>
            <w:tcW w:w="717" w:type="pct"/>
            <w:tcBorders>
              <w:top w:val="single" w:sz="4" w:space="0" w:color="auto"/>
            </w:tcBorders>
            <w:hideMark/>
          </w:tcPr>
          <w:p w14:paraId="2C545F02"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i/>
                <w:iCs/>
                <w:color w:val="000000"/>
                <w:kern w:val="0"/>
                <w:szCs w:val="24"/>
                <w:lang w:eastAsia="en-US"/>
              </w:rPr>
              <w:t>p-</w:t>
            </w:r>
            <w:r w:rsidRPr="008A6A6E">
              <w:rPr>
                <w:rFonts w:eastAsia="Times New Roman" w:cs="Times New Roman"/>
                <w:color w:val="000000"/>
                <w:kern w:val="0"/>
                <w:szCs w:val="24"/>
                <w:lang w:eastAsia="en-US"/>
              </w:rPr>
              <w:t>value</w:t>
            </w:r>
          </w:p>
        </w:tc>
      </w:tr>
      <w:tr w:rsidR="003E5B95" w:rsidRPr="008A6A6E" w14:paraId="785D69A4"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866" w:type="pct"/>
            <w:tcBorders>
              <w:bottom w:val="nil"/>
              <w:right w:val="single" w:sz="4" w:space="0" w:color="auto"/>
            </w:tcBorders>
            <w:noWrap/>
            <w:hideMark/>
          </w:tcPr>
          <w:p w14:paraId="5A17868E"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REL→ CHSTRS </w:t>
            </w:r>
          </w:p>
        </w:tc>
        <w:tc>
          <w:tcPr>
            <w:tcW w:w="527" w:type="pct"/>
            <w:tcBorders>
              <w:left w:val="single" w:sz="4" w:space="0" w:color="auto"/>
            </w:tcBorders>
          </w:tcPr>
          <w:p w14:paraId="5391E6A7"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0.293</w:t>
            </w:r>
          </w:p>
        </w:tc>
        <w:tc>
          <w:tcPr>
            <w:tcW w:w="724" w:type="pct"/>
          </w:tcPr>
          <w:p w14:paraId="1F4A722E"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c>
          <w:tcPr>
            <w:tcW w:w="672" w:type="pct"/>
            <w:hideMark/>
          </w:tcPr>
          <w:p w14:paraId="060B1C91"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0.430</w:t>
            </w:r>
          </w:p>
        </w:tc>
        <w:tc>
          <w:tcPr>
            <w:tcW w:w="770" w:type="pct"/>
            <w:hideMark/>
          </w:tcPr>
          <w:p w14:paraId="73538F95"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0.003</w:t>
            </w:r>
          </w:p>
        </w:tc>
        <w:tc>
          <w:tcPr>
            <w:tcW w:w="724" w:type="pct"/>
            <w:hideMark/>
          </w:tcPr>
          <w:p w14:paraId="67B84E13"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0.187</w:t>
            </w:r>
          </w:p>
        </w:tc>
        <w:tc>
          <w:tcPr>
            <w:tcW w:w="717" w:type="pct"/>
            <w:hideMark/>
          </w:tcPr>
          <w:p w14:paraId="24980DFD"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0.105</w:t>
            </w:r>
          </w:p>
        </w:tc>
      </w:tr>
      <w:tr w:rsidR="003E5B95" w:rsidRPr="008A6A6E" w14:paraId="576412E2"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866" w:type="pct"/>
            <w:tcBorders>
              <w:bottom w:val="single" w:sz="4" w:space="0" w:color="auto"/>
              <w:right w:val="single" w:sz="4" w:space="0" w:color="auto"/>
            </w:tcBorders>
            <w:noWrap/>
            <w:hideMark/>
          </w:tcPr>
          <w:p w14:paraId="32AAA467"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REL→ HINSTRS</w:t>
            </w:r>
          </w:p>
        </w:tc>
        <w:tc>
          <w:tcPr>
            <w:tcW w:w="527" w:type="pct"/>
            <w:tcBorders>
              <w:left w:val="single" w:sz="4" w:space="0" w:color="auto"/>
            </w:tcBorders>
          </w:tcPr>
          <w:p w14:paraId="5771C594"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0.436</w:t>
            </w:r>
          </w:p>
        </w:tc>
        <w:tc>
          <w:tcPr>
            <w:tcW w:w="724" w:type="pct"/>
          </w:tcPr>
          <w:p w14:paraId="42B5A784"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c>
          <w:tcPr>
            <w:tcW w:w="672" w:type="pct"/>
            <w:hideMark/>
          </w:tcPr>
          <w:p w14:paraId="4DE84A3E"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0.705</w:t>
            </w:r>
          </w:p>
        </w:tc>
        <w:tc>
          <w:tcPr>
            <w:tcW w:w="770" w:type="pct"/>
            <w:hideMark/>
          </w:tcPr>
          <w:p w14:paraId="63751DD0"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c>
          <w:tcPr>
            <w:tcW w:w="724" w:type="pct"/>
            <w:hideMark/>
          </w:tcPr>
          <w:p w14:paraId="1F05A6FB"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0.431</w:t>
            </w:r>
          </w:p>
        </w:tc>
        <w:tc>
          <w:tcPr>
            <w:tcW w:w="717" w:type="pct"/>
            <w:hideMark/>
          </w:tcPr>
          <w:p w14:paraId="36E3ACAC"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r>
    </w:tbl>
    <w:p w14:paraId="35353E1F" w14:textId="77777777" w:rsidR="003E5B95" w:rsidRPr="008A6A6E" w:rsidRDefault="003E5B95" w:rsidP="003E5B95">
      <w:pPr>
        <w:keepNext/>
        <w:spacing w:after="160" w:line="240" w:lineRule="auto"/>
        <w:ind w:firstLine="0"/>
        <w:contextualSpacing w:val="0"/>
        <w:rPr>
          <w:rFonts w:cs="Times New Roman"/>
          <w:kern w:val="0"/>
          <w:szCs w:val="24"/>
          <w:lang w:eastAsia="en-US"/>
        </w:rPr>
      </w:pPr>
      <w:r w:rsidRPr="008A6A6E">
        <w:rPr>
          <w:rFonts w:cs="Times New Roman"/>
          <w:kern w:val="0"/>
          <w:szCs w:val="24"/>
          <w:lang w:eastAsia="en-US"/>
        </w:rPr>
        <w:t xml:space="preserve">Relevance (REL); Challenge stress (CHSTRS); Hindrance stress (HINSTRS); Control (CTRL); *** </w:t>
      </w:r>
      <w:r w:rsidRPr="008A6A6E">
        <w:rPr>
          <w:rFonts w:cs="Times New Roman"/>
          <w:i/>
          <w:iCs/>
          <w:kern w:val="0"/>
          <w:szCs w:val="24"/>
          <w:lang w:eastAsia="en-US"/>
        </w:rPr>
        <w:t>p</w:t>
      </w:r>
      <w:r w:rsidRPr="008A6A6E">
        <w:rPr>
          <w:rFonts w:cs="Times New Roman"/>
          <w:kern w:val="0"/>
          <w:szCs w:val="24"/>
          <w:lang w:eastAsia="en-US"/>
        </w:rPr>
        <w:t xml:space="preserve"> &lt;.001</w:t>
      </w:r>
    </w:p>
    <w:p w14:paraId="5E1C27AC" w14:textId="1BA1515C" w:rsidR="003E5B95" w:rsidRPr="00D77CD9" w:rsidRDefault="003E5B95" w:rsidP="00AB540D">
      <w:pPr>
        <w:spacing w:before="240" w:after="160"/>
        <w:contextualSpacing w:val="0"/>
        <w:rPr>
          <w:rFonts w:cs="Times New Roman"/>
          <w:kern w:val="0"/>
          <w:szCs w:val="24"/>
          <w:lang w:eastAsia="en-US"/>
        </w:rPr>
      </w:pPr>
      <w:bookmarkStart w:id="247" w:name="_Toc73955262"/>
      <w:bookmarkStart w:id="248" w:name="_Toc74074423"/>
      <w:r w:rsidRPr="00AC29E4">
        <w:rPr>
          <w:rFonts w:cs="Times New Roman"/>
          <w:kern w:val="0"/>
          <w:szCs w:val="24"/>
          <w:lang w:eastAsia="en-US"/>
        </w:rPr>
        <w:t xml:space="preserve">The next step in this analysis involves testing the effect of the control that cybersecurity professionals may have over </w:t>
      </w:r>
      <w:r>
        <w:rPr>
          <w:rFonts w:cs="Times New Roman"/>
          <w:kern w:val="0"/>
          <w:szCs w:val="24"/>
          <w:lang w:eastAsia="en-US"/>
        </w:rPr>
        <w:t xml:space="preserve">the </w:t>
      </w:r>
      <w:r w:rsidRPr="00AC29E4">
        <w:rPr>
          <w:rFonts w:cs="Times New Roman"/>
          <w:kern w:val="0"/>
          <w:szCs w:val="24"/>
          <w:lang w:eastAsia="en-US"/>
        </w:rPr>
        <w:t xml:space="preserve">implementation and/or maintenance of an EMS technology (H5a, b). </w:t>
      </w:r>
      <w:r w:rsidRPr="00AC29E4">
        <w:rPr>
          <w:rFonts w:cs="Times New Roman"/>
          <w:szCs w:val="24"/>
        </w:rPr>
        <w:t>Because</w:t>
      </w:r>
      <w:r w:rsidRPr="00AC29E4">
        <w:rPr>
          <w:rFonts w:cs="Times New Roman"/>
          <w:kern w:val="0"/>
          <w:szCs w:val="24"/>
          <w:lang w:eastAsia="en-US"/>
        </w:rPr>
        <w:t xml:space="preserve"> this step involves the interactions of control over EMS technologies with the relevance of the technologies (relevance of EMS demands x control), a multigroup analysis approach was used, which was deemed appropriate for testing the latent variable moderation in structural equation modeling </w:t>
      </w:r>
      <w:r w:rsidRPr="00AC29E4">
        <w:rPr>
          <w:rFonts w:cs="Times New Roman"/>
          <w:noProof/>
          <w:kern w:val="0"/>
          <w:szCs w:val="24"/>
          <w:lang w:eastAsia="en-US"/>
        </w:rPr>
        <w:t>(Schumacker, 2002)</w:t>
      </w:r>
      <w:r w:rsidRPr="00AC29E4">
        <w:rPr>
          <w:rFonts w:cs="Times New Roman"/>
          <w:kern w:val="0"/>
          <w:szCs w:val="24"/>
          <w:lang w:eastAsia="en-US"/>
        </w:rPr>
        <w:t xml:space="preserve">. For this test, cybersecurity professionals are divided into low and high perceived control over EMS technologies groups based on the mean </w:t>
      </w:r>
      <w:r w:rsidRPr="00AC29E4">
        <w:rPr>
          <w:rFonts w:cs="Times New Roman"/>
          <w:kern w:val="0"/>
          <w:szCs w:val="24"/>
          <w:lang w:eastAsia="en-US"/>
        </w:rPr>
        <w:lastRenderedPageBreak/>
        <w:t xml:space="preserve">value of the perceived control. The results of this stage are shown in Table </w:t>
      </w:r>
      <w:r w:rsidR="00B73D48">
        <w:rPr>
          <w:rFonts w:cs="Times New Roman"/>
          <w:kern w:val="0"/>
          <w:szCs w:val="24"/>
          <w:lang w:eastAsia="en-US"/>
        </w:rPr>
        <w:t>8</w:t>
      </w:r>
      <w:r w:rsidRPr="00AC29E4">
        <w:rPr>
          <w:rFonts w:cs="Times New Roman"/>
          <w:kern w:val="0"/>
          <w:szCs w:val="24"/>
          <w:lang w:eastAsia="en-US"/>
        </w:rPr>
        <w:t xml:space="preserve">, with corresponding effect sizes in Table </w:t>
      </w:r>
      <w:r w:rsidR="00B73D48">
        <w:rPr>
          <w:rFonts w:cs="Times New Roman"/>
          <w:kern w:val="0"/>
          <w:szCs w:val="24"/>
          <w:lang w:eastAsia="en-US"/>
        </w:rPr>
        <w:t>9</w:t>
      </w:r>
      <w:r w:rsidRPr="00AC29E4">
        <w:rPr>
          <w:rFonts w:cs="Times New Roman"/>
          <w:kern w:val="0"/>
          <w:szCs w:val="24"/>
          <w:lang w:eastAsia="en-US"/>
        </w:rPr>
        <w:t>.</w:t>
      </w:r>
      <w:r w:rsidR="00AB540D">
        <w:rPr>
          <w:rFonts w:cs="Times New Roman"/>
          <w:kern w:val="0"/>
          <w:szCs w:val="24"/>
          <w:lang w:eastAsia="en-US"/>
        </w:rPr>
        <w:t xml:space="preserve"> </w:t>
      </w:r>
      <w:r w:rsidR="00AB540D" w:rsidRPr="00AC29E4">
        <w:rPr>
          <w:rFonts w:cs="Times New Roman"/>
          <w:kern w:val="0"/>
          <w:szCs w:val="24"/>
          <w:lang w:eastAsia="en-US"/>
        </w:rPr>
        <w:t>As stated in terms of the hypothesized relationships (H5a), when cybersecurity professionals perceive high control over a relevant EMS technology, they will experience more challenge stress than hindrance stress. Contrary to the hypothesized relationship, a high level of control over a relevant EMS technology resulted in significantly higher hindrance stress (</w:t>
      </w:r>
      <w:r w:rsidR="00AB540D" w:rsidRPr="00AC29E4">
        <w:rPr>
          <w:rFonts w:cs="Times New Roman"/>
          <w:i/>
          <w:iCs/>
          <w:kern w:val="0"/>
          <w:szCs w:val="24"/>
          <w:lang w:eastAsia="en-US"/>
        </w:rPr>
        <w:t>p</w:t>
      </w:r>
      <w:r w:rsidR="00AB540D" w:rsidRPr="00AC29E4">
        <w:rPr>
          <w:rFonts w:cs="Times New Roman"/>
          <w:kern w:val="0"/>
          <w:szCs w:val="24"/>
          <w:lang w:eastAsia="en-US"/>
        </w:rPr>
        <w:t xml:space="preserve"> &lt;</w:t>
      </w:r>
      <w:r w:rsidR="00AB540D">
        <w:rPr>
          <w:rFonts w:cs="Times New Roman"/>
          <w:kern w:val="0"/>
          <w:szCs w:val="24"/>
          <w:lang w:eastAsia="en-US"/>
        </w:rPr>
        <w:t xml:space="preserve"> .</w:t>
      </w:r>
      <w:r w:rsidR="00AB540D" w:rsidRPr="00AC29E4">
        <w:rPr>
          <w:rFonts w:cs="Times New Roman"/>
          <w:kern w:val="0"/>
          <w:szCs w:val="24"/>
          <w:lang w:eastAsia="en-US"/>
        </w:rPr>
        <w:t>001) than challenge stress (</w:t>
      </w:r>
      <w:r w:rsidR="00AB540D" w:rsidRPr="00AC29E4">
        <w:rPr>
          <w:rFonts w:cs="Times New Roman"/>
          <w:i/>
          <w:iCs/>
          <w:kern w:val="0"/>
          <w:szCs w:val="24"/>
          <w:lang w:eastAsia="en-US"/>
        </w:rPr>
        <w:t>p</w:t>
      </w:r>
      <w:r w:rsidR="00AB540D" w:rsidRPr="00AC29E4">
        <w:rPr>
          <w:rFonts w:cs="Times New Roman"/>
          <w:kern w:val="0"/>
          <w:szCs w:val="24"/>
          <w:lang w:eastAsia="en-US"/>
        </w:rPr>
        <w:t xml:space="preserve"> = 0.105), resulting in no support of H5a. Because one beta weight is significantly different from the other, no further statistical test is required to determine whether this difference is significant.</w:t>
      </w:r>
    </w:p>
    <w:p w14:paraId="792AD2F7" w14:textId="77777777" w:rsidR="003E5B95" w:rsidRDefault="003E5B95" w:rsidP="003E5B95">
      <w:pPr>
        <w:pStyle w:val="Caption"/>
        <w:keepNext/>
        <w:spacing w:line="480" w:lineRule="auto"/>
        <w:rPr>
          <w:sz w:val="24"/>
          <w:szCs w:val="24"/>
        </w:rPr>
      </w:pPr>
      <w:r w:rsidRPr="00D77CD9">
        <w:rPr>
          <w:sz w:val="24"/>
          <w:szCs w:val="24"/>
        </w:rPr>
        <w:t xml:space="preserve">Table 9 </w:t>
      </w:r>
      <w:bookmarkStart w:id="249" w:name="_Toc73917982"/>
    </w:p>
    <w:p w14:paraId="7AEC33A1" w14:textId="77777777" w:rsidR="003E5B95" w:rsidRPr="00D77CD9" w:rsidRDefault="003E5B95" w:rsidP="003E5B95">
      <w:pPr>
        <w:pStyle w:val="Caption"/>
        <w:keepNext/>
        <w:spacing w:line="480" w:lineRule="auto"/>
        <w:rPr>
          <w:b w:val="0"/>
          <w:bCs/>
          <w:i/>
          <w:iCs w:val="0"/>
          <w:sz w:val="24"/>
          <w:szCs w:val="24"/>
        </w:rPr>
      </w:pPr>
      <w:r w:rsidRPr="00D77CD9">
        <w:rPr>
          <w:b w:val="0"/>
          <w:bCs/>
          <w:i/>
          <w:iCs w:val="0"/>
          <w:sz w:val="24"/>
          <w:szCs w:val="24"/>
        </w:rPr>
        <w:t>Stage II Hypotheses Support and Effect Size</w:t>
      </w:r>
      <w:bookmarkEnd w:id="247"/>
      <w:bookmarkEnd w:id="248"/>
      <w:bookmarkEnd w:id="249"/>
    </w:p>
    <w:tbl>
      <w:tblPr>
        <w:tblStyle w:val="PlainTable4"/>
        <w:tblW w:w="5000" w:type="pct"/>
        <w:tblLayout w:type="fixed"/>
        <w:tblLook w:val="04A0" w:firstRow="1" w:lastRow="0" w:firstColumn="1" w:lastColumn="0" w:noHBand="0" w:noVBand="1"/>
      </w:tblPr>
      <w:tblGrid>
        <w:gridCol w:w="2700"/>
        <w:gridCol w:w="2249"/>
        <w:gridCol w:w="2520"/>
        <w:gridCol w:w="1891"/>
      </w:tblGrid>
      <w:tr w:rsidR="003E5B95" w:rsidRPr="008A6A6E" w14:paraId="19E9F30D" w14:textId="77777777" w:rsidTr="008A6A6E">
        <w:trPr>
          <w:cnfStyle w:val="100000000000" w:firstRow="1" w:lastRow="0" w:firstColumn="0" w:lastColumn="0" w:oddVBand="0" w:evenVBand="0" w:oddHBand="0" w:evenHBand="0" w:firstRowFirstColumn="0" w:firstRowLastColumn="0" w:lastRowFirstColumn="0" w:lastRowLastColumn="0"/>
          <w:trHeight w:val="648"/>
        </w:trPr>
        <w:tc>
          <w:tcPr>
            <w:cnfStyle w:val="001000000000" w:firstRow="0" w:lastRow="0" w:firstColumn="1" w:lastColumn="0" w:oddVBand="0" w:evenVBand="0" w:oddHBand="0" w:evenHBand="0" w:firstRowFirstColumn="0" w:firstRowLastColumn="0" w:lastRowFirstColumn="0" w:lastRowLastColumn="0"/>
            <w:tcW w:w="1442" w:type="pct"/>
            <w:tcBorders>
              <w:top w:val="single" w:sz="4" w:space="0" w:color="auto"/>
              <w:bottom w:val="single" w:sz="4" w:space="0" w:color="auto"/>
              <w:right w:val="single" w:sz="4" w:space="0" w:color="auto"/>
            </w:tcBorders>
            <w:hideMark/>
          </w:tcPr>
          <w:p w14:paraId="5285A8E3"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Stage II</w:t>
            </w:r>
          </w:p>
        </w:tc>
        <w:tc>
          <w:tcPr>
            <w:tcW w:w="1201" w:type="pct"/>
            <w:tcBorders>
              <w:top w:val="single" w:sz="4" w:space="0" w:color="auto"/>
              <w:left w:val="single" w:sz="4" w:space="0" w:color="auto"/>
              <w:bottom w:val="single" w:sz="4" w:space="0" w:color="auto"/>
            </w:tcBorders>
            <w:noWrap/>
            <w:hideMark/>
          </w:tcPr>
          <w:p w14:paraId="6CAD00FA"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Hypothesis Support</w:t>
            </w:r>
          </w:p>
        </w:tc>
        <w:tc>
          <w:tcPr>
            <w:tcW w:w="1346" w:type="pct"/>
            <w:tcBorders>
              <w:top w:val="single" w:sz="4" w:space="0" w:color="auto"/>
              <w:bottom w:val="single" w:sz="4" w:space="0" w:color="auto"/>
            </w:tcBorders>
            <w:noWrap/>
          </w:tcPr>
          <w:p w14:paraId="440B61F8"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Effect Size (Cohen’s </w:t>
            </w:r>
            <w:r w:rsidRPr="008A6A6E">
              <w:rPr>
                <w:rFonts w:eastAsia="Times New Roman" w:cs="Times New Roman"/>
                <w:b w:val="0"/>
                <w:bCs w:val="0"/>
                <w:i/>
                <w:iCs/>
                <w:color w:val="000000"/>
                <w:kern w:val="0"/>
                <w:szCs w:val="24"/>
                <w:lang w:eastAsia="en-US"/>
              </w:rPr>
              <w:t>f</w:t>
            </w:r>
            <w:r w:rsidRPr="008A6A6E">
              <w:rPr>
                <w:rFonts w:eastAsia="Times New Roman" w:cs="Times New Roman"/>
                <w:b w:val="0"/>
                <w:bCs w:val="0"/>
                <w:i/>
                <w:iCs/>
                <w:color w:val="000000"/>
                <w:kern w:val="0"/>
                <w:szCs w:val="24"/>
                <w:vertAlign w:val="superscript"/>
                <w:lang w:eastAsia="en-US"/>
              </w:rPr>
              <w:t>2</w:t>
            </w:r>
            <w:r w:rsidRPr="008A6A6E">
              <w:rPr>
                <w:rFonts w:eastAsia="Times New Roman" w:cs="Times New Roman"/>
                <w:b w:val="0"/>
                <w:bCs w:val="0"/>
                <w:color w:val="000000"/>
                <w:kern w:val="0"/>
                <w:szCs w:val="24"/>
                <w:lang w:eastAsia="en-US"/>
              </w:rPr>
              <w:t>)</w:t>
            </w:r>
          </w:p>
        </w:tc>
        <w:tc>
          <w:tcPr>
            <w:tcW w:w="1010" w:type="pct"/>
            <w:tcBorders>
              <w:top w:val="single" w:sz="4" w:space="0" w:color="auto"/>
              <w:bottom w:val="single" w:sz="4" w:space="0" w:color="auto"/>
            </w:tcBorders>
            <w:noWrap/>
            <w:hideMark/>
          </w:tcPr>
          <w:p w14:paraId="03BA3759"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Effect Size Interpretation</w:t>
            </w:r>
          </w:p>
        </w:tc>
      </w:tr>
      <w:tr w:rsidR="003E5B95" w:rsidRPr="008A6A6E" w14:paraId="03935BB1" w14:textId="77777777" w:rsidTr="008A6A6E">
        <w:trPr>
          <w:cnfStyle w:val="000000100000" w:firstRow="0" w:lastRow="0" w:firstColumn="0" w:lastColumn="0" w:oddVBand="0" w:evenVBand="0" w:oddHBand="1" w:evenHBand="0" w:firstRowFirstColumn="0" w:firstRowLastColumn="0" w:lastRowFirstColumn="0" w:lastRowLastColumn="0"/>
          <w:trHeight w:val="648"/>
        </w:trPr>
        <w:tc>
          <w:tcPr>
            <w:cnfStyle w:val="001000000000" w:firstRow="0" w:lastRow="0" w:firstColumn="1" w:lastColumn="0" w:oddVBand="0" w:evenVBand="0" w:oddHBand="0" w:evenHBand="0" w:firstRowFirstColumn="0" w:firstRowLastColumn="0" w:lastRowFirstColumn="0" w:lastRowLastColumn="0"/>
            <w:tcW w:w="1442" w:type="pct"/>
            <w:tcBorders>
              <w:top w:val="single" w:sz="4" w:space="0" w:color="auto"/>
              <w:right w:val="single" w:sz="4" w:space="0" w:color="auto"/>
            </w:tcBorders>
            <w:hideMark/>
          </w:tcPr>
          <w:p w14:paraId="3F1E0986"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H4a: REL→CHSTRS</w:t>
            </w:r>
          </w:p>
        </w:tc>
        <w:tc>
          <w:tcPr>
            <w:tcW w:w="1201" w:type="pct"/>
            <w:tcBorders>
              <w:top w:val="single" w:sz="4" w:space="0" w:color="auto"/>
              <w:left w:val="single" w:sz="4" w:space="0" w:color="auto"/>
            </w:tcBorders>
            <w:hideMark/>
          </w:tcPr>
          <w:p w14:paraId="7E601E4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346" w:type="pct"/>
            <w:tcBorders>
              <w:top w:val="single" w:sz="4" w:space="0" w:color="auto"/>
            </w:tcBorders>
            <w:noWrap/>
            <w:hideMark/>
          </w:tcPr>
          <w:p w14:paraId="4877CB9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0.094</w:t>
            </w:r>
          </w:p>
        </w:tc>
        <w:tc>
          <w:tcPr>
            <w:tcW w:w="1010" w:type="pct"/>
            <w:tcBorders>
              <w:top w:val="single" w:sz="4" w:space="0" w:color="auto"/>
            </w:tcBorders>
            <w:noWrap/>
            <w:hideMark/>
          </w:tcPr>
          <w:p w14:paraId="36CA225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Small</w:t>
            </w:r>
          </w:p>
        </w:tc>
      </w:tr>
      <w:tr w:rsidR="003E5B95" w:rsidRPr="008A6A6E" w14:paraId="24A31A71" w14:textId="77777777" w:rsidTr="008A6A6E">
        <w:trPr>
          <w:trHeight w:val="648"/>
        </w:trPr>
        <w:tc>
          <w:tcPr>
            <w:cnfStyle w:val="001000000000" w:firstRow="0" w:lastRow="0" w:firstColumn="1" w:lastColumn="0" w:oddVBand="0" w:evenVBand="0" w:oddHBand="0" w:evenHBand="0" w:firstRowFirstColumn="0" w:firstRowLastColumn="0" w:lastRowFirstColumn="0" w:lastRowLastColumn="0"/>
            <w:tcW w:w="1442" w:type="pct"/>
            <w:tcBorders>
              <w:right w:val="single" w:sz="4" w:space="0" w:color="auto"/>
            </w:tcBorders>
            <w:hideMark/>
          </w:tcPr>
          <w:p w14:paraId="473135BF"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H4b: REL→HINSTRS</w:t>
            </w:r>
          </w:p>
        </w:tc>
        <w:tc>
          <w:tcPr>
            <w:tcW w:w="1201" w:type="pct"/>
            <w:tcBorders>
              <w:left w:val="single" w:sz="4" w:space="0" w:color="auto"/>
            </w:tcBorders>
            <w:hideMark/>
          </w:tcPr>
          <w:p w14:paraId="45E7ACD0"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346" w:type="pct"/>
            <w:noWrap/>
            <w:hideMark/>
          </w:tcPr>
          <w:p w14:paraId="63DD8BE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0.235</w:t>
            </w:r>
          </w:p>
        </w:tc>
        <w:tc>
          <w:tcPr>
            <w:tcW w:w="1010" w:type="pct"/>
            <w:noWrap/>
            <w:hideMark/>
          </w:tcPr>
          <w:p w14:paraId="454C8BF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Large</w:t>
            </w:r>
          </w:p>
        </w:tc>
      </w:tr>
      <w:tr w:rsidR="003E5B95" w:rsidRPr="008A6A6E" w14:paraId="2522E4D5" w14:textId="77777777" w:rsidTr="008A6A6E">
        <w:trPr>
          <w:cnfStyle w:val="000000100000" w:firstRow="0" w:lastRow="0" w:firstColumn="0" w:lastColumn="0" w:oddVBand="0" w:evenVBand="0" w:oddHBand="1" w:evenHBand="0" w:firstRowFirstColumn="0" w:firstRowLastColumn="0" w:lastRowFirstColumn="0" w:lastRowLastColumn="0"/>
          <w:trHeight w:val="648"/>
        </w:trPr>
        <w:tc>
          <w:tcPr>
            <w:cnfStyle w:val="001000000000" w:firstRow="0" w:lastRow="0" w:firstColumn="1" w:lastColumn="0" w:oddVBand="0" w:evenVBand="0" w:oddHBand="0" w:evenHBand="0" w:firstRowFirstColumn="0" w:firstRowLastColumn="0" w:lastRowFirstColumn="0" w:lastRowLastColumn="0"/>
            <w:tcW w:w="1442" w:type="pct"/>
            <w:tcBorders>
              <w:right w:val="single" w:sz="4" w:space="0" w:color="auto"/>
            </w:tcBorders>
            <w:hideMark/>
          </w:tcPr>
          <w:p w14:paraId="203A1700"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H5a: REL x High CTRL→ CHSTRS &gt; HINSTRS</w:t>
            </w:r>
          </w:p>
        </w:tc>
        <w:tc>
          <w:tcPr>
            <w:tcW w:w="1201" w:type="pct"/>
            <w:tcBorders>
              <w:left w:val="single" w:sz="4" w:space="0" w:color="auto"/>
            </w:tcBorders>
            <w:noWrap/>
            <w:hideMark/>
          </w:tcPr>
          <w:p w14:paraId="6F912C7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Not Supported </w:t>
            </w:r>
          </w:p>
        </w:tc>
        <w:tc>
          <w:tcPr>
            <w:tcW w:w="1346" w:type="pct"/>
            <w:noWrap/>
            <w:hideMark/>
          </w:tcPr>
          <w:p w14:paraId="2F62FC4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c>
          <w:tcPr>
            <w:tcW w:w="1010" w:type="pct"/>
            <w:noWrap/>
            <w:hideMark/>
          </w:tcPr>
          <w:p w14:paraId="0374711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r w:rsidR="003E5B95" w:rsidRPr="008A6A6E" w14:paraId="52365E97" w14:textId="77777777" w:rsidTr="008A6A6E">
        <w:trPr>
          <w:trHeight w:val="648"/>
        </w:trPr>
        <w:tc>
          <w:tcPr>
            <w:cnfStyle w:val="001000000000" w:firstRow="0" w:lastRow="0" w:firstColumn="1" w:lastColumn="0" w:oddVBand="0" w:evenVBand="0" w:oddHBand="0" w:evenHBand="0" w:firstRowFirstColumn="0" w:firstRowLastColumn="0" w:lastRowFirstColumn="0" w:lastRowLastColumn="0"/>
            <w:tcW w:w="1442" w:type="pct"/>
            <w:tcBorders>
              <w:bottom w:val="single" w:sz="4" w:space="0" w:color="auto"/>
              <w:right w:val="single" w:sz="4" w:space="0" w:color="auto"/>
            </w:tcBorders>
            <w:hideMark/>
          </w:tcPr>
          <w:p w14:paraId="46B18DAE" w14:textId="77777777" w:rsidR="003E5B95" w:rsidRPr="008A6A6E"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H5b: REL x Low CTRL→ HINSTRS &gt; CHSTRS</w:t>
            </w:r>
          </w:p>
        </w:tc>
        <w:tc>
          <w:tcPr>
            <w:tcW w:w="1201" w:type="pct"/>
            <w:tcBorders>
              <w:left w:val="single" w:sz="4" w:space="0" w:color="auto"/>
              <w:bottom w:val="single" w:sz="4" w:space="0" w:color="auto"/>
            </w:tcBorders>
            <w:noWrap/>
            <w:hideMark/>
          </w:tcPr>
          <w:p w14:paraId="24951EE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1346" w:type="pct"/>
            <w:tcBorders>
              <w:bottom w:val="single" w:sz="4" w:space="0" w:color="auto"/>
            </w:tcBorders>
            <w:noWrap/>
            <w:hideMark/>
          </w:tcPr>
          <w:p w14:paraId="07D07EA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111111"/>
                <w:kern w:val="0"/>
                <w:szCs w:val="24"/>
                <w:lang w:eastAsia="en-US"/>
              </w:rPr>
            </w:pPr>
            <w:r w:rsidRPr="008A6A6E">
              <w:rPr>
                <w:rFonts w:eastAsia="Times New Roman" w:cs="Times New Roman"/>
                <w:color w:val="111111"/>
                <w:kern w:val="0"/>
                <w:szCs w:val="24"/>
                <w:lang w:eastAsia="en-US"/>
              </w:rPr>
              <w:t> </w:t>
            </w:r>
          </w:p>
        </w:tc>
        <w:tc>
          <w:tcPr>
            <w:tcW w:w="1010" w:type="pct"/>
            <w:tcBorders>
              <w:bottom w:val="single" w:sz="4" w:space="0" w:color="auto"/>
            </w:tcBorders>
            <w:noWrap/>
            <w:hideMark/>
          </w:tcPr>
          <w:p w14:paraId="6498BA77"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w:t>
            </w:r>
          </w:p>
        </w:tc>
      </w:tr>
    </w:tbl>
    <w:p w14:paraId="0AD7AE43" w14:textId="77777777" w:rsidR="003E5B95" w:rsidRPr="008A6A6E" w:rsidRDefault="003E5B95" w:rsidP="003E5B95">
      <w:pPr>
        <w:keepNext/>
        <w:spacing w:after="160" w:line="240" w:lineRule="auto"/>
        <w:ind w:firstLine="0"/>
        <w:contextualSpacing w:val="0"/>
        <w:rPr>
          <w:rFonts w:cs="Times New Roman"/>
          <w:kern w:val="0"/>
          <w:szCs w:val="24"/>
          <w:lang w:eastAsia="en-US"/>
        </w:rPr>
      </w:pPr>
      <w:r w:rsidRPr="008A6A6E">
        <w:rPr>
          <w:rFonts w:cs="Times New Roman"/>
          <w:kern w:val="0"/>
          <w:szCs w:val="24"/>
          <w:lang w:eastAsia="en-US"/>
        </w:rPr>
        <w:t>Relevance (REL); Challenge stress (CHSTRS); Hindrance stress (HINSTRS); Control (CTRL)</w:t>
      </w:r>
    </w:p>
    <w:p w14:paraId="615C00D7" w14:textId="4068DEBF"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For H5b, a relevant EMS technology and a low level of control over it resulted in higher levels of hindrance stress (</w:t>
      </w:r>
      <w:r w:rsidRPr="00AC29E4">
        <w:rPr>
          <w:rFonts w:cs="Times New Roman"/>
          <w:i/>
          <w:iCs/>
          <w:kern w:val="0"/>
          <w:szCs w:val="24"/>
          <w:lang w:eastAsia="en-US"/>
        </w:rPr>
        <w:t>p</w:t>
      </w:r>
      <w:r w:rsidRPr="00AC29E4">
        <w:rPr>
          <w:rFonts w:cs="Times New Roman"/>
          <w:kern w:val="0"/>
          <w:szCs w:val="24"/>
          <w:lang w:eastAsia="en-US"/>
        </w:rPr>
        <w:t xml:space="preserve"> &lt;</w:t>
      </w:r>
      <w:r w:rsidR="00C52E69">
        <w:rPr>
          <w:rFonts w:cs="Times New Roman"/>
          <w:kern w:val="0"/>
          <w:szCs w:val="24"/>
          <w:lang w:eastAsia="en-US"/>
        </w:rPr>
        <w:t xml:space="preserve"> .</w:t>
      </w:r>
      <w:r w:rsidRPr="00AC29E4">
        <w:rPr>
          <w:rFonts w:cs="Times New Roman"/>
          <w:kern w:val="0"/>
          <w:szCs w:val="24"/>
          <w:lang w:eastAsia="en-US"/>
        </w:rPr>
        <w:t>001) than challenge stress (</w:t>
      </w:r>
      <w:r w:rsidRPr="00AC29E4">
        <w:rPr>
          <w:rFonts w:cs="Times New Roman"/>
          <w:i/>
          <w:iCs/>
          <w:kern w:val="0"/>
          <w:szCs w:val="24"/>
          <w:lang w:eastAsia="en-US"/>
        </w:rPr>
        <w:t>p</w:t>
      </w:r>
      <w:r w:rsidRPr="00AC29E4">
        <w:rPr>
          <w:rFonts w:cs="Times New Roman"/>
          <w:kern w:val="0"/>
          <w:szCs w:val="24"/>
          <w:lang w:eastAsia="en-US"/>
        </w:rPr>
        <w:t xml:space="preserve"> = 0.003). To test if the difference in beta weights between hindrance stress and challenge stress is significant, we performed a comparison of standardized beta weights (comparison of </w:t>
      </w:r>
      <w:r w:rsidRPr="00AC29E4">
        <w:rPr>
          <w:rFonts w:cs="Times New Roman"/>
          <w:i/>
          <w:iCs/>
          <w:kern w:val="0"/>
          <w:szCs w:val="24"/>
          <w:lang w:eastAsia="en-US"/>
        </w:rPr>
        <w:t>β</w:t>
      </w:r>
      <w:r w:rsidRPr="00AC29E4">
        <w:rPr>
          <w:rFonts w:cs="Times New Roman"/>
          <w:kern w:val="0"/>
          <w:szCs w:val="24"/>
          <w:lang w:eastAsia="en-US"/>
        </w:rPr>
        <w:t xml:space="preserve"> =750 </w:t>
      </w:r>
      <w:r w:rsidRPr="00AC29E4">
        <w:rPr>
          <w:rFonts w:cs="Times New Roman"/>
          <w:i/>
          <w:iCs/>
          <w:kern w:val="0"/>
          <w:szCs w:val="24"/>
          <w:lang w:eastAsia="en-US"/>
        </w:rPr>
        <w:t>vs.</w:t>
      </w:r>
      <w:r w:rsidRPr="00AC29E4">
        <w:rPr>
          <w:rFonts w:cs="Times New Roman"/>
          <w:kern w:val="0"/>
          <w:szCs w:val="24"/>
          <w:lang w:eastAsia="en-US"/>
        </w:rPr>
        <w:t xml:space="preserve"> </w:t>
      </w:r>
      <w:r w:rsidRPr="00AC29E4">
        <w:rPr>
          <w:rFonts w:cs="Times New Roman"/>
          <w:i/>
          <w:iCs/>
          <w:kern w:val="0"/>
          <w:szCs w:val="24"/>
          <w:lang w:eastAsia="en-US"/>
        </w:rPr>
        <w:t>β</w:t>
      </w:r>
      <w:r w:rsidRPr="00AC29E4">
        <w:rPr>
          <w:rFonts w:cs="Times New Roman"/>
          <w:kern w:val="0"/>
          <w:szCs w:val="24"/>
          <w:lang w:eastAsia="en-US"/>
        </w:rPr>
        <w:t xml:space="preserve"> = 0.430). To carry out this comparison, their corresponding 95% confidence intervals were estimated via bias-corrected </w:t>
      </w:r>
      <w:r w:rsidRPr="00AC29E4">
        <w:rPr>
          <w:rFonts w:cs="Times New Roman"/>
          <w:kern w:val="0"/>
          <w:szCs w:val="24"/>
          <w:lang w:eastAsia="en-US"/>
        </w:rPr>
        <w:lastRenderedPageBreak/>
        <w:t>bootstrap (5,000 resample in AMOS). To evaluate the hypothesis more precisely, half of the overlapping confidence intervals were calculated (0.178) and added to the lower bound confidence interval of hindrance stress (0.497), which yielded a value of 0.675. Because the challenge stress upper bound estimate of 0.661 was less than 0.675, the difference between the standardized beta weights (Δ</w:t>
      </w:r>
      <w:r w:rsidRPr="00AC29E4">
        <w:rPr>
          <w:rFonts w:cs="Times New Roman"/>
          <w:i/>
          <w:iCs/>
          <w:kern w:val="0"/>
          <w:szCs w:val="24"/>
          <w:lang w:eastAsia="en-US"/>
        </w:rPr>
        <w:t>β</w:t>
      </w:r>
      <w:r w:rsidRPr="00AC29E4">
        <w:rPr>
          <w:rFonts w:cs="Times New Roman"/>
          <w:kern w:val="0"/>
          <w:szCs w:val="24"/>
          <w:lang w:eastAsia="en-US"/>
        </w:rPr>
        <w:t xml:space="preserve"> = 0.705 - 0.430) of hindrance stress and challenge stress (Δ</w:t>
      </w:r>
      <w:r w:rsidRPr="00AC29E4">
        <w:rPr>
          <w:rFonts w:cs="Times New Roman"/>
          <w:i/>
          <w:iCs/>
          <w:kern w:val="0"/>
          <w:szCs w:val="24"/>
          <w:lang w:eastAsia="en-US"/>
        </w:rPr>
        <w:t>β =</w:t>
      </w:r>
      <w:r w:rsidRPr="00AC29E4">
        <w:rPr>
          <w:rFonts w:cs="Times New Roman"/>
          <w:kern w:val="0"/>
          <w:szCs w:val="24"/>
          <w:lang w:eastAsia="en-US"/>
        </w:rPr>
        <w:t xml:space="preserve"> 0.275) is considered statistically significant. In other words, the beta weight for hindrance stress is significantly larger than the beta weight of challenge stress, providing support for H5b.</w:t>
      </w:r>
    </w:p>
    <w:p w14:paraId="219923C8" w14:textId="77777777" w:rsidR="003E5B95" w:rsidRPr="00AC29E4"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Overall, the results of the divided samples test show that only the low control group has a significant positive relationship with challenge stress (</w:t>
      </w:r>
      <w:r w:rsidRPr="00AC29E4">
        <w:rPr>
          <w:rFonts w:cs="Times New Roman"/>
          <w:i/>
          <w:iCs/>
          <w:kern w:val="0"/>
          <w:szCs w:val="24"/>
          <w:lang w:eastAsia="en-US"/>
        </w:rPr>
        <w:t>p</w:t>
      </w:r>
      <w:r w:rsidRPr="00AC29E4">
        <w:rPr>
          <w:rFonts w:cs="Times New Roman"/>
          <w:kern w:val="0"/>
          <w:szCs w:val="24"/>
          <w:lang w:eastAsia="en-US"/>
        </w:rPr>
        <w:t xml:space="preserve"> = 0.003), suggesting that cybersecurity professionals who perceive low control over EMS technologies experience higher levels of challenge stress as the relevance of EMS technologies increases for them. Further, in terms of the explained variance, in the low control group, the relevance of an EMS technology explains 69.2% of the variance in challenge stress (Cohen </w:t>
      </w:r>
      <w:r w:rsidRPr="00AC29E4">
        <w:rPr>
          <w:rFonts w:cs="Times New Roman"/>
          <w:i/>
          <w:iCs/>
          <w:kern w:val="0"/>
          <w:szCs w:val="24"/>
          <w:lang w:eastAsia="en-US"/>
        </w:rPr>
        <w:t>f</w:t>
      </w:r>
      <w:r w:rsidRPr="00AC29E4">
        <w:rPr>
          <w:rFonts w:cs="Times New Roman"/>
          <w:i/>
          <w:iCs/>
          <w:kern w:val="0"/>
          <w:szCs w:val="24"/>
          <w:vertAlign w:val="superscript"/>
          <w:lang w:eastAsia="en-US"/>
        </w:rPr>
        <w:t xml:space="preserve">2 </w:t>
      </w:r>
      <w:r w:rsidRPr="00AC29E4">
        <w:rPr>
          <w:rFonts w:cs="Times New Roman"/>
          <w:kern w:val="0"/>
          <w:szCs w:val="24"/>
          <w:lang w:eastAsia="en-US"/>
        </w:rPr>
        <w:t xml:space="preserve">= 2.247, large effect) and 30.3% of the variance in hindrance stress (Cohen </w:t>
      </w:r>
      <w:r w:rsidRPr="00AC29E4">
        <w:rPr>
          <w:rFonts w:cs="Times New Roman"/>
          <w:i/>
          <w:iCs/>
          <w:kern w:val="0"/>
          <w:szCs w:val="24"/>
          <w:lang w:eastAsia="en-US"/>
        </w:rPr>
        <w:t>f</w:t>
      </w:r>
      <w:r w:rsidRPr="00AC29E4">
        <w:rPr>
          <w:rFonts w:cs="Times New Roman"/>
          <w:i/>
          <w:iCs/>
          <w:kern w:val="0"/>
          <w:szCs w:val="24"/>
          <w:vertAlign w:val="superscript"/>
          <w:lang w:eastAsia="en-US"/>
        </w:rPr>
        <w:t xml:space="preserve">2 </w:t>
      </w:r>
      <w:r w:rsidRPr="00AC29E4">
        <w:rPr>
          <w:rFonts w:cs="Times New Roman"/>
          <w:kern w:val="0"/>
          <w:szCs w:val="24"/>
          <w:lang w:eastAsia="en-US"/>
        </w:rPr>
        <w:t xml:space="preserve">= 0.435, large effect). In the high control group, the relevance of an EMS technology explains 46.7% of the variance in the challenge stress (Cohen </w:t>
      </w:r>
      <w:r w:rsidRPr="00AC29E4">
        <w:rPr>
          <w:rFonts w:cs="Times New Roman"/>
          <w:i/>
          <w:iCs/>
          <w:kern w:val="0"/>
          <w:szCs w:val="24"/>
          <w:lang w:eastAsia="en-US"/>
        </w:rPr>
        <w:t>f</w:t>
      </w:r>
      <w:r w:rsidRPr="00AC29E4">
        <w:rPr>
          <w:rFonts w:cs="Times New Roman"/>
          <w:i/>
          <w:iCs/>
          <w:kern w:val="0"/>
          <w:szCs w:val="24"/>
          <w:vertAlign w:val="superscript"/>
          <w:lang w:eastAsia="en-US"/>
        </w:rPr>
        <w:t xml:space="preserve">2 </w:t>
      </w:r>
      <w:r w:rsidRPr="00AC29E4">
        <w:rPr>
          <w:rFonts w:cs="Times New Roman"/>
          <w:kern w:val="0"/>
          <w:szCs w:val="24"/>
          <w:lang w:eastAsia="en-US"/>
        </w:rPr>
        <w:t xml:space="preserve">= 0.876, large effect) and 35.5% of the variance in the hindrance stress (Cohen </w:t>
      </w:r>
      <w:r w:rsidRPr="00AC29E4">
        <w:rPr>
          <w:rFonts w:cs="Times New Roman"/>
          <w:i/>
          <w:iCs/>
          <w:kern w:val="0"/>
          <w:szCs w:val="24"/>
          <w:lang w:eastAsia="en-US"/>
        </w:rPr>
        <w:t>f</w:t>
      </w:r>
      <w:r w:rsidRPr="00AC29E4">
        <w:rPr>
          <w:rFonts w:cs="Times New Roman"/>
          <w:i/>
          <w:iCs/>
          <w:kern w:val="0"/>
          <w:szCs w:val="24"/>
          <w:vertAlign w:val="superscript"/>
          <w:lang w:eastAsia="en-US"/>
        </w:rPr>
        <w:t xml:space="preserve">2 </w:t>
      </w:r>
      <w:r w:rsidRPr="00AC29E4">
        <w:rPr>
          <w:rFonts w:cs="Times New Roman"/>
          <w:kern w:val="0"/>
          <w:szCs w:val="24"/>
          <w:lang w:eastAsia="en-US"/>
        </w:rPr>
        <w:t>= 0.550, large effect).</w:t>
      </w:r>
    </w:p>
    <w:p w14:paraId="0AFE63CF" w14:textId="5BC6B554" w:rsidR="003E5B95" w:rsidRDefault="003E5B95" w:rsidP="003E5B95">
      <w:pPr>
        <w:pStyle w:val="Heading2"/>
        <w:rPr>
          <w:lang w:eastAsia="en-US"/>
        </w:rPr>
      </w:pPr>
      <w:bookmarkStart w:id="250" w:name="_Toc74045261"/>
      <w:bookmarkStart w:id="251" w:name="_Toc74087546"/>
      <w:bookmarkStart w:id="252" w:name="_Toc74258662"/>
      <w:r w:rsidRPr="00AC29E4">
        <w:rPr>
          <w:lang w:eastAsia="en-US"/>
        </w:rPr>
        <w:t>Stage III</w:t>
      </w:r>
      <w:r w:rsidR="00A20AAF">
        <w:rPr>
          <w:lang w:eastAsia="en-US"/>
        </w:rPr>
        <w:t>: Utilization of Stress Analysis and Results</w:t>
      </w:r>
      <w:bookmarkEnd w:id="250"/>
      <w:bookmarkEnd w:id="251"/>
      <w:bookmarkEnd w:id="252"/>
    </w:p>
    <w:p w14:paraId="5C47BFDC" w14:textId="4537C1EE" w:rsidR="003E5B95" w:rsidRPr="002F174A" w:rsidRDefault="003E5B95" w:rsidP="003E5B95">
      <w:pPr>
        <w:contextualSpacing w:val="0"/>
        <w:rPr>
          <w:rFonts w:cs="Times New Roman"/>
          <w:kern w:val="0"/>
          <w:szCs w:val="24"/>
          <w:lang w:eastAsia="en-US"/>
        </w:rPr>
      </w:pPr>
      <w:r w:rsidRPr="00AC29E4">
        <w:rPr>
          <w:rFonts w:cs="Times New Roman"/>
          <w:b/>
          <w:bCs/>
          <w:kern w:val="0"/>
          <w:szCs w:val="24"/>
          <w:lang w:eastAsia="en-US"/>
        </w:rPr>
        <w:t xml:space="preserve"> </w:t>
      </w:r>
      <w:r w:rsidRPr="00AC29E4">
        <w:rPr>
          <w:rFonts w:cs="Times New Roman"/>
          <w:kern w:val="0"/>
          <w:szCs w:val="24"/>
          <w:lang w:eastAsia="en-US"/>
        </w:rPr>
        <w:t>For the Stage III model, the predicted scores of challenge and hindrance stress are used from the Stage II model test results. Stage III of the model tests the cybersecurity professionals’ engagement in savoring and coping responses as they experience challenge and hindrance stress. Our results show that an experience of challenge stress is more strongly associated with engagement in PFS responses (</w:t>
      </w:r>
      <w:r w:rsidRPr="00AC29E4">
        <w:rPr>
          <w:rFonts w:cs="Times New Roman"/>
          <w:i/>
          <w:iCs/>
          <w:kern w:val="0"/>
          <w:szCs w:val="24"/>
          <w:lang w:eastAsia="en-US"/>
        </w:rPr>
        <w:t>p</w:t>
      </w:r>
      <w:r w:rsidRPr="00AC29E4">
        <w:rPr>
          <w:rFonts w:cs="Times New Roman"/>
          <w:kern w:val="0"/>
          <w:szCs w:val="24"/>
          <w:lang w:eastAsia="en-US"/>
        </w:rPr>
        <w:t xml:space="preserve"> &lt;</w:t>
      </w:r>
      <w:r w:rsidR="00C52E69">
        <w:rPr>
          <w:rFonts w:cs="Times New Roman"/>
          <w:kern w:val="0"/>
          <w:szCs w:val="24"/>
          <w:lang w:eastAsia="en-US"/>
        </w:rPr>
        <w:t xml:space="preserve"> .</w:t>
      </w:r>
      <w:r w:rsidRPr="00AC29E4">
        <w:rPr>
          <w:rFonts w:cs="Times New Roman"/>
          <w:kern w:val="0"/>
          <w:szCs w:val="24"/>
          <w:lang w:eastAsia="en-US"/>
        </w:rPr>
        <w:t xml:space="preserve">001) than EFC responses (Table </w:t>
      </w:r>
      <w:r>
        <w:rPr>
          <w:rFonts w:cs="Times New Roman"/>
          <w:kern w:val="0"/>
          <w:szCs w:val="24"/>
          <w:lang w:eastAsia="en-US"/>
        </w:rPr>
        <w:t>10</w:t>
      </w:r>
      <w:r w:rsidRPr="00AC29E4">
        <w:rPr>
          <w:rFonts w:cs="Times New Roman"/>
          <w:kern w:val="0"/>
          <w:szCs w:val="24"/>
          <w:lang w:eastAsia="en-US"/>
        </w:rPr>
        <w:t xml:space="preserve">). On the other hand, a </w:t>
      </w:r>
      <w:r w:rsidRPr="00AC29E4">
        <w:rPr>
          <w:rFonts w:cs="Times New Roman"/>
          <w:kern w:val="0"/>
          <w:szCs w:val="24"/>
          <w:lang w:eastAsia="en-US"/>
        </w:rPr>
        <w:lastRenderedPageBreak/>
        <w:t>higher experience of hindrance stress results in a strong association with engagement in EFC responses (</w:t>
      </w:r>
      <w:r w:rsidRPr="00AC29E4">
        <w:rPr>
          <w:rFonts w:cs="Times New Roman"/>
          <w:i/>
          <w:iCs/>
          <w:kern w:val="0"/>
          <w:szCs w:val="24"/>
          <w:lang w:eastAsia="en-US"/>
        </w:rPr>
        <w:t>p</w:t>
      </w:r>
      <w:r w:rsidRPr="00AC29E4">
        <w:rPr>
          <w:rFonts w:cs="Times New Roman"/>
          <w:kern w:val="0"/>
          <w:szCs w:val="24"/>
          <w:lang w:eastAsia="en-US"/>
        </w:rPr>
        <w:t xml:space="preserve"> &lt;</w:t>
      </w:r>
      <w:r w:rsidR="00C52E69">
        <w:rPr>
          <w:rFonts w:cs="Times New Roman"/>
          <w:kern w:val="0"/>
          <w:szCs w:val="24"/>
          <w:lang w:eastAsia="en-US"/>
        </w:rPr>
        <w:t xml:space="preserve"> .</w:t>
      </w:r>
      <w:r w:rsidRPr="00AC29E4">
        <w:rPr>
          <w:rFonts w:cs="Times New Roman"/>
          <w:kern w:val="0"/>
          <w:szCs w:val="24"/>
          <w:lang w:eastAsia="en-US"/>
        </w:rPr>
        <w:t xml:space="preserve">001) than in PFS responses. </w:t>
      </w:r>
      <w:r w:rsidRPr="00AC29E4">
        <w:rPr>
          <w:rFonts w:cs="Times New Roman"/>
          <w:szCs w:val="24"/>
        </w:rPr>
        <w:t>Because</w:t>
      </w:r>
      <w:r w:rsidRPr="00AC29E4">
        <w:rPr>
          <w:rFonts w:cs="Times New Roman"/>
          <w:kern w:val="0"/>
          <w:szCs w:val="24"/>
          <w:lang w:eastAsia="en-US"/>
        </w:rPr>
        <w:t xml:space="preserve"> one beta value is significant and the other is nonsignificant in the estimation of H6 and H7, no further test is performed to ascertain if this difference is significantly different from the other. Overall, our results lend support to hypotheses H6 and H7. Cumulatively, challenge and hindrance stress explain 50.4% of the variance in EFC, translating to an effect size of 1.016, which is a large effect. Similarly, both challenge and hindrance stress explain 77.5% of the variance in PFS, translating to an effect size of 3.444, which is a large effect. Figure </w:t>
      </w:r>
      <w:r>
        <w:rPr>
          <w:rFonts w:cs="Times New Roman"/>
          <w:kern w:val="0"/>
          <w:szCs w:val="24"/>
          <w:lang w:eastAsia="en-US"/>
        </w:rPr>
        <w:t>5</w:t>
      </w:r>
      <w:r w:rsidRPr="00AC29E4">
        <w:rPr>
          <w:rFonts w:cs="Times New Roman"/>
          <w:kern w:val="0"/>
          <w:szCs w:val="24"/>
          <w:lang w:eastAsia="en-US"/>
        </w:rPr>
        <w:t xml:space="preserve"> shows the results of the DAM</w:t>
      </w:r>
      <w:r>
        <w:rPr>
          <w:rFonts w:cs="Times New Roman"/>
          <w:kern w:val="0"/>
          <w:szCs w:val="24"/>
          <w:lang w:eastAsia="en-US"/>
        </w:rPr>
        <w:t xml:space="preserve"> in terms of </w:t>
      </w:r>
      <w:r w:rsidR="004011E1">
        <w:rPr>
          <w:rFonts w:cs="Times New Roman"/>
          <w:kern w:val="0"/>
          <w:szCs w:val="24"/>
          <w:lang w:eastAsia="en-US"/>
        </w:rPr>
        <w:t>explained variance</w:t>
      </w:r>
      <w:r>
        <w:rPr>
          <w:rFonts w:cs="Times New Roman"/>
          <w:kern w:val="0"/>
          <w:szCs w:val="24"/>
          <w:lang w:eastAsia="en-US"/>
        </w:rPr>
        <w:t xml:space="preserve"> at each stage.</w:t>
      </w:r>
    </w:p>
    <w:p w14:paraId="47983596" w14:textId="77777777" w:rsidR="003E5B95" w:rsidRDefault="003E5B95" w:rsidP="003E5B95">
      <w:pPr>
        <w:pStyle w:val="Caption"/>
        <w:keepNext/>
        <w:spacing w:line="480" w:lineRule="auto"/>
        <w:rPr>
          <w:sz w:val="24"/>
          <w:szCs w:val="24"/>
        </w:rPr>
      </w:pPr>
      <w:bookmarkStart w:id="253" w:name="_Toc73955263"/>
      <w:bookmarkStart w:id="254" w:name="_Toc74074424"/>
      <w:r w:rsidRPr="00E76F88">
        <w:rPr>
          <w:sz w:val="24"/>
          <w:szCs w:val="24"/>
        </w:rPr>
        <w:t xml:space="preserve">Table </w:t>
      </w:r>
      <w:r>
        <w:rPr>
          <w:sz w:val="24"/>
          <w:szCs w:val="24"/>
        </w:rPr>
        <w:t>10</w:t>
      </w:r>
      <w:r w:rsidRPr="00E76F88">
        <w:rPr>
          <w:sz w:val="24"/>
          <w:szCs w:val="24"/>
        </w:rPr>
        <w:t xml:space="preserve"> </w:t>
      </w:r>
      <w:bookmarkStart w:id="255" w:name="_Toc73917983"/>
    </w:p>
    <w:p w14:paraId="354C8D17" w14:textId="77777777" w:rsidR="003E5B95" w:rsidRPr="00E76F88" w:rsidRDefault="003E5B95" w:rsidP="003E5B95">
      <w:pPr>
        <w:pStyle w:val="Caption"/>
        <w:keepNext/>
        <w:spacing w:line="480" w:lineRule="auto"/>
        <w:rPr>
          <w:b w:val="0"/>
          <w:bCs/>
          <w:i/>
          <w:iCs w:val="0"/>
          <w:sz w:val="24"/>
          <w:szCs w:val="24"/>
        </w:rPr>
      </w:pPr>
      <w:r w:rsidRPr="00E76F88">
        <w:rPr>
          <w:b w:val="0"/>
          <w:bCs/>
          <w:i/>
          <w:iCs w:val="0"/>
          <w:sz w:val="24"/>
          <w:szCs w:val="24"/>
        </w:rPr>
        <w:t>Stage III Model Estimation Results</w:t>
      </w:r>
      <w:bookmarkEnd w:id="253"/>
      <w:bookmarkEnd w:id="254"/>
      <w:bookmarkEnd w:id="255"/>
    </w:p>
    <w:tbl>
      <w:tblPr>
        <w:tblStyle w:val="PlainTable4"/>
        <w:tblW w:w="5000" w:type="pct"/>
        <w:tblBorders>
          <w:bottom w:val="single" w:sz="4" w:space="0" w:color="auto"/>
        </w:tblBorders>
        <w:tblLayout w:type="fixed"/>
        <w:tblLook w:val="04A0" w:firstRow="1" w:lastRow="0" w:firstColumn="1" w:lastColumn="0" w:noHBand="0" w:noVBand="1"/>
      </w:tblPr>
      <w:tblGrid>
        <w:gridCol w:w="2201"/>
        <w:gridCol w:w="1586"/>
        <w:gridCol w:w="988"/>
        <w:gridCol w:w="1350"/>
        <w:gridCol w:w="1707"/>
        <w:gridCol w:w="1528"/>
      </w:tblGrid>
      <w:tr w:rsidR="003E5B95" w:rsidRPr="008A6A6E" w14:paraId="62115AE9" w14:textId="77777777" w:rsidTr="003E5B95">
        <w:trPr>
          <w:cnfStyle w:val="100000000000" w:firstRow="1" w:lastRow="0" w:firstColumn="0" w:lastColumn="0" w:oddVBand="0" w:evenVBand="0" w:oddHBand="0"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176" w:type="pct"/>
            <w:tcBorders>
              <w:top w:val="single" w:sz="4" w:space="0" w:color="auto"/>
              <w:bottom w:val="single" w:sz="4" w:space="0" w:color="auto"/>
              <w:right w:val="single" w:sz="4" w:space="0" w:color="auto"/>
            </w:tcBorders>
            <w:noWrap/>
            <w:hideMark/>
          </w:tcPr>
          <w:p w14:paraId="54CD7DC7"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Stage III</w:t>
            </w:r>
          </w:p>
        </w:tc>
        <w:tc>
          <w:tcPr>
            <w:tcW w:w="847" w:type="pct"/>
            <w:tcBorders>
              <w:top w:val="single" w:sz="4" w:space="0" w:color="auto"/>
              <w:left w:val="single" w:sz="4" w:space="0" w:color="auto"/>
              <w:bottom w:val="single" w:sz="4" w:space="0" w:color="auto"/>
            </w:tcBorders>
            <w:noWrap/>
            <w:hideMark/>
          </w:tcPr>
          <w:p w14:paraId="6A5F0DA3"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Standardized Estimate</w:t>
            </w:r>
          </w:p>
        </w:tc>
        <w:tc>
          <w:tcPr>
            <w:tcW w:w="528" w:type="pct"/>
            <w:tcBorders>
              <w:top w:val="single" w:sz="4" w:space="0" w:color="auto"/>
              <w:bottom w:val="single" w:sz="4" w:space="0" w:color="auto"/>
            </w:tcBorders>
            <w:noWrap/>
            <w:hideMark/>
          </w:tcPr>
          <w:p w14:paraId="5B9B17F4"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p-value</w:t>
            </w:r>
          </w:p>
        </w:tc>
        <w:tc>
          <w:tcPr>
            <w:tcW w:w="721" w:type="pct"/>
            <w:tcBorders>
              <w:top w:val="single" w:sz="4" w:space="0" w:color="auto"/>
              <w:bottom w:val="single" w:sz="4" w:space="0" w:color="auto"/>
            </w:tcBorders>
          </w:tcPr>
          <w:p w14:paraId="67F2E180"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Hypothesis Support</w:t>
            </w:r>
          </w:p>
        </w:tc>
        <w:tc>
          <w:tcPr>
            <w:tcW w:w="912" w:type="pct"/>
            <w:tcBorders>
              <w:top w:val="single" w:sz="4" w:space="0" w:color="auto"/>
              <w:bottom w:val="single" w:sz="4" w:space="0" w:color="auto"/>
            </w:tcBorders>
          </w:tcPr>
          <w:p w14:paraId="6BC1E0FC"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Effect Size (Cohen’s </w:t>
            </w:r>
            <w:r w:rsidRPr="008A6A6E">
              <w:rPr>
                <w:rFonts w:eastAsia="Times New Roman" w:cs="Times New Roman"/>
                <w:b w:val="0"/>
                <w:bCs w:val="0"/>
                <w:i/>
                <w:iCs/>
                <w:color w:val="000000"/>
                <w:kern w:val="0"/>
                <w:szCs w:val="24"/>
                <w:lang w:eastAsia="en-US"/>
              </w:rPr>
              <w:t>f</w:t>
            </w:r>
            <w:r w:rsidRPr="008A6A6E">
              <w:rPr>
                <w:rFonts w:eastAsia="Times New Roman" w:cs="Times New Roman"/>
                <w:b w:val="0"/>
                <w:bCs w:val="0"/>
                <w:i/>
                <w:iCs/>
                <w:color w:val="000000"/>
                <w:kern w:val="0"/>
                <w:szCs w:val="24"/>
                <w:vertAlign w:val="superscript"/>
                <w:lang w:eastAsia="en-US"/>
              </w:rPr>
              <w:t>2</w:t>
            </w:r>
            <w:r w:rsidRPr="008A6A6E">
              <w:rPr>
                <w:rFonts w:eastAsia="Times New Roman" w:cs="Times New Roman"/>
                <w:b w:val="0"/>
                <w:bCs w:val="0"/>
                <w:color w:val="000000"/>
                <w:kern w:val="0"/>
                <w:szCs w:val="24"/>
                <w:lang w:eastAsia="en-US"/>
              </w:rPr>
              <w:t>)</w:t>
            </w:r>
          </w:p>
        </w:tc>
        <w:tc>
          <w:tcPr>
            <w:tcW w:w="816" w:type="pct"/>
            <w:tcBorders>
              <w:top w:val="single" w:sz="4" w:space="0" w:color="auto"/>
              <w:bottom w:val="single" w:sz="4" w:space="0" w:color="auto"/>
            </w:tcBorders>
          </w:tcPr>
          <w:p w14:paraId="07E11C8F" w14:textId="77777777" w:rsidR="003E5B95" w:rsidRPr="008A6A6E" w:rsidRDefault="003E5B95" w:rsidP="003E5B95">
            <w:pPr>
              <w:keepNext/>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Effect Size Interpretation</w:t>
            </w:r>
          </w:p>
        </w:tc>
      </w:tr>
      <w:tr w:rsidR="003E5B95" w:rsidRPr="008A6A6E" w14:paraId="2ECB8040"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176" w:type="pct"/>
            <w:tcBorders>
              <w:top w:val="single" w:sz="4" w:space="0" w:color="auto"/>
              <w:right w:val="single" w:sz="4" w:space="0" w:color="auto"/>
            </w:tcBorders>
            <w:noWrap/>
            <w:hideMark/>
          </w:tcPr>
          <w:p w14:paraId="4ED988FE"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H6: CHSTRS→ PFS</w:t>
            </w:r>
          </w:p>
        </w:tc>
        <w:tc>
          <w:tcPr>
            <w:tcW w:w="847" w:type="pct"/>
            <w:tcBorders>
              <w:top w:val="single" w:sz="4" w:space="0" w:color="auto"/>
              <w:left w:val="single" w:sz="4" w:space="0" w:color="auto"/>
            </w:tcBorders>
            <w:hideMark/>
          </w:tcPr>
          <w:p w14:paraId="0A6944C7"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0.874</w:t>
            </w:r>
          </w:p>
        </w:tc>
        <w:tc>
          <w:tcPr>
            <w:tcW w:w="528" w:type="pct"/>
            <w:tcBorders>
              <w:top w:val="single" w:sz="4" w:space="0" w:color="auto"/>
            </w:tcBorders>
            <w:hideMark/>
          </w:tcPr>
          <w:p w14:paraId="03804B3B"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c>
          <w:tcPr>
            <w:tcW w:w="721" w:type="pct"/>
            <w:vMerge w:val="restart"/>
            <w:tcBorders>
              <w:top w:val="single" w:sz="4" w:space="0" w:color="auto"/>
            </w:tcBorders>
          </w:tcPr>
          <w:p w14:paraId="6BD2CE1A"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Supported </w:t>
            </w:r>
          </w:p>
        </w:tc>
        <w:tc>
          <w:tcPr>
            <w:tcW w:w="912" w:type="pct"/>
            <w:vMerge w:val="restart"/>
            <w:tcBorders>
              <w:top w:val="single" w:sz="4" w:space="0" w:color="auto"/>
            </w:tcBorders>
          </w:tcPr>
          <w:p w14:paraId="1139BA14"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1.016*</w:t>
            </w:r>
          </w:p>
        </w:tc>
        <w:tc>
          <w:tcPr>
            <w:tcW w:w="816" w:type="pct"/>
            <w:vMerge w:val="restart"/>
            <w:tcBorders>
              <w:top w:val="single" w:sz="4" w:space="0" w:color="auto"/>
            </w:tcBorders>
          </w:tcPr>
          <w:p w14:paraId="6EA443D7"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Large</w:t>
            </w:r>
          </w:p>
        </w:tc>
      </w:tr>
      <w:tr w:rsidR="003E5B95" w:rsidRPr="008A6A6E" w14:paraId="57370AA6"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1176" w:type="pct"/>
            <w:tcBorders>
              <w:right w:val="single" w:sz="4" w:space="0" w:color="auto"/>
            </w:tcBorders>
            <w:noWrap/>
            <w:hideMark/>
          </w:tcPr>
          <w:p w14:paraId="5003D584"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       CHSTRS→ EFC</w:t>
            </w:r>
          </w:p>
        </w:tc>
        <w:tc>
          <w:tcPr>
            <w:tcW w:w="847" w:type="pct"/>
            <w:tcBorders>
              <w:left w:val="single" w:sz="4" w:space="0" w:color="auto"/>
            </w:tcBorders>
            <w:hideMark/>
          </w:tcPr>
          <w:p w14:paraId="3E23009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0.05</w:t>
            </w:r>
          </w:p>
        </w:tc>
        <w:tc>
          <w:tcPr>
            <w:tcW w:w="528" w:type="pct"/>
            <w:hideMark/>
          </w:tcPr>
          <w:p w14:paraId="5FDB9B2B"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0.283</w:t>
            </w:r>
          </w:p>
        </w:tc>
        <w:tc>
          <w:tcPr>
            <w:tcW w:w="721" w:type="pct"/>
            <w:vMerge/>
          </w:tcPr>
          <w:p w14:paraId="06DC9E6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912" w:type="pct"/>
            <w:vMerge/>
          </w:tcPr>
          <w:p w14:paraId="58B6CBA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816" w:type="pct"/>
            <w:vMerge/>
          </w:tcPr>
          <w:p w14:paraId="77B0DDB9"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r>
      <w:tr w:rsidR="003E5B95" w:rsidRPr="008A6A6E" w14:paraId="3C82D4B7" w14:textId="77777777" w:rsidTr="003E5B95">
        <w:trPr>
          <w:cnfStyle w:val="000000100000" w:firstRow="0" w:lastRow="0" w:firstColumn="0" w:lastColumn="0" w:oddVBand="0" w:evenVBand="0" w:oddHBand="1" w:evenHBand="0" w:firstRowFirstColumn="0" w:firstRowLastColumn="0" w:lastRowFirstColumn="0" w:lastRowLastColumn="0"/>
          <w:trHeight w:val="506"/>
        </w:trPr>
        <w:tc>
          <w:tcPr>
            <w:cnfStyle w:val="001000000000" w:firstRow="0" w:lastRow="0" w:firstColumn="1" w:lastColumn="0" w:oddVBand="0" w:evenVBand="0" w:oddHBand="0" w:evenHBand="0" w:firstRowFirstColumn="0" w:firstRowLastColumn="0" w:lastRowFirstColumn="0" w:lastRowLastColumn="0"/>
            <w:tcW w:w="1176" w:type="pct"/>
            <w:tcBorders>
              <w:right w:val="single" w:sz="4" w:space="0" w:color="auto"/>
            </w:tcBorders>
            <w:noWrap/>
            <w:hideMark/>
          </w:tcPr>
          <w:p w14:paraId="75A079AA"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H7: HINSTRS→ PFS</w:t>
            </w:r>
          </w:p>
        </w:tc>
        <w:tc>
          <w:tcPr>
            <w:tcW w:w="847" w:type="pct"/>
            <w:tcBorders>
              <w:left w:val="single" w:sz="4" w:space="0" w:color="auto"/>
            </w:tcBorders>
            <w:noWrap/>
            <w:hideMark/>
          </w:tcPr>
          <w:p w14:paraId="2868562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-0.027</w:t>
            </w:r>
          </w:p>
        </w:tc>
        <w:tc>
          <w:tcPr>
            <w:tcW w:w="528" w:type="pct"/>
            <w:hideMark/>
          </w:tcPr>
          <w:p w14:paraId="45BE2FD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0.576</w:t>
            </w:r>
          </w:p>
        </w:tc>
        <w:tc>
          <w:tcPr>
            <w:tcW w:w="721" w:type="pct"/>
            <w:vMerge w:val="restart"/>
          </w:tcPr>
          <w:p w14:paraId="2C3E6037"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Supported</w:t>
            </w:r>
          </w:p>
        </w:tc>
        <w:tc>
          <w:tcPr>
            <w:tcW w:w="912" w:type="pct"/>
            <w:vMerge w:val="restart"/>
          </w:tcPr>
          <w:p w14:paraId="6FFDE34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3.444*</w:t>
            </w:r>
          </w:p>
        </w:tc>
        <w:tc>
          <w:tcPr>
            <w:tcW w:w="816" w:type="pct"/>
            <w:vMerge w:val="restart"/>
          </w:tcPr>
          <w:p w14:paraId="7A056865"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Large</w:t>
            </w:r>
          </w:p>
        </w:tc>
      </w:tr>
      <w:tr w:rsidR="003E5B95" w:rsidRPr="008A6A6E" w14:paraId="7C231A5A" w14:textId="77777777" w:rsidTr="003E5B95">
        <w:trPr>
          <w:trHeight w:val="506"/>
        </w:trPr>
        <w:tc>
          <w:tcPr>
            <w:cnfStyle w:val="001000000000" w:firstRow="0" w:lastRow="0" w:firstColumn="1" w:lastColumn="0" w:oddVBand="0" w:evenVBand="0" w:oddHBand="0" w:evenHBand="0" w:firstRowFirstColumn="0" w:firstRowLastColumn="0" w:lastRowFirstColumn="0" w:lastRowLastColumn="0"/>
            <w:tcW w:w="1176" w:type="pct"/>
            <w:tcBorders>
              <w:bottom w:val="single" w:sz="4" w:space="0" w:color="auto"/>
              <w:right w:val="single" w:sz="4" w:space="0" w:color="auto"/>
            </w:tcBorders>
            <w:noWrap/>
            <w:hideMark/>
          </w:tcPr>
          <w:p w14:paraId="02274B39" w14:textId="77777777" w:rsidR="003E5B95" w:rsidRPr="008A6A6E" w:rsidRDefault="003E5B95" w:rsidP="003E5B95">
            <w:pPr>
              <w:keepNext/>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       HINSTRS→ EFC</w:t>
            </w:r>
          </w:p>
        </w:tc>
        <w:tc>
          <w:tcPr>
            <w:tcW w:w="847" w:type="pct"/>
            <w:tcBorders>
              <w:left w:val="single" w:sz="4" w:space="0" w:color="auto"/>
            </w:tcBorders>
            <w:hideMark/>
          </w:tcPr>
          <w:p w14:paraId="387D7BE9"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0.719</w:t>
            </w:r>
          </w:p>
        </w:tc>
        <w:tc>
          <w:tcPr>
            <w:tcW w:w="528" w:type="pct"/>
            <w:hideMark/>
          </w:tcPr>
          <w:p w14:paraId="410767F2"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w:t>
            </w:r>
          </w:p>
        </w:tc>
        <w:tc>
          <w:tcPr>
            <w:tcW w:w="721" w:type="pct"/>
            <w:vMerge/>
          </w:tcPr>
          <w:p w14:paraId="542B98A3"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912" w:type="pct"/>
            <w:vMerge/>
          </w:tcPr>
          <w:p w14:paraId="278B8A5F"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816" w:type="pct"/>
            <w:vMerge/>
          </w:tcPr>
          <w:p w14:paraId="2F481A3B" w14:textId="77777777" w:rsidR="003E5B95" w:rsidRPr="008A6A6E" w:rsidRDefault="003E5B95" w:rsidP="003E5B95">
            <w:pPr>
              <w:keepNext/>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r>
    </w:tbl>
    <w:p w14:paraId="69B6F57D" w14:textId="77777777" w:rsidR="003E5B95" w:rsidRPr="008A6A6E" w:rsidRDefault="003E5B95" w:rsidP="003E5B95">
      <w:pPr>
        <w:keepNext/>
        <w:spacing w:after="160" w:line="259" w:lineRule="auto"/>
        <w:ind w:firstLine="0"/>
        <w:contextualSpacing w:val="0"/>
        <w:rPr>
          <w:rFonts w:eastAsia="Times New Roman" w:cs="Times New Roman"/>
          <w:color w:val="000000"/>
          <w:kern w:val="0"/>
          <w:szCs w:val="24"/>
          <w:lang w:eastAsia="en-US"/>
        </w:rPr>
      </w:pPr>
      <w:r w:rsidRPr="008A6A6E">
        <w:rPr>
          <w:rFonts w:cs="Times New Roman"/>
          <w:kern w:val="0"/>
          <w:szCs w:val="24"/>
          <w:lang w:eastAsia="en-US"/>
        </w:rPr>
        <w:t xml:space="preserve">Challenge stress (CHSTRS); Hindrance stress (HINSTRS); Problem-focused savoring (PFS); Emotion-focused coping (EFC); *** </w:t>
      </w:r>
      <w:r w:rsidRPr="008A6A6E">
        <w:rPr>
          <w:rFonts w:cs="Times New Roman"/>
          <w:i/>
          <w:iCs/>
          <w:kern w:val="0"/>
          <w:szCs w:val="24"/>
          <w:lang w:eastAsia="en-US"/>
        </w:rPr>
        <w:t>p</w:t>
      </w:r>
      <w:r w:rsidRPr="008A6A6E">
        <w:rPr>
          <w:rFonts w:cs="Times New Roman"/>
          <w:kern w:val="0"/>
          <w:szCs w:val="24"/>
          <w:lang w:eastAsia="en-US"/>
        </w:rPr>
        <w:t xml:space="preserve"> &lt;.001; </w:t>
      </w:r>
      <w:r w:rsidRPr="008A6A6E">
        <w:rPr>
          <w:rFonts w:eastAsia="Times New Roman" w:cs="Times New Roman"/>
          <w:color w:val="000000"/>
          <w:kern w:val="0"/>
          <w:szCs w:val="24"/>
          <w:lang w:eastAsia="en-US"/>
        </w:rPr>
        <w:t xml:space="preserve">* values represent global effect size (Cohen’s </w:t>
      </w:r>
      <w:r w:rsidRPr="008A6A6E">
        <w:rPr>
          <w:rFonts w:eastAsia="Times New Roman" w:cs="Times New Roman"/>
          <w:i/>
          <w:iCs/>
          <w:color w:val="000000"/>
          <w:kern w:val="0"/>
          <w:szCs w:val="24"/>
          <w:lang w:eastAsia="en-US"/>
        </w:rPr>
        <w:t>f</w:t>
      </w:r>
      <w:r w:rsidRPr="008A6A6E">
        <w:rPr>
          <w:rFonts w:eastAsia="Times New Roman" w:cs="Times New Roman"/>
          <w:i/>
          <w:iCs/>
          <w:color w:val="000000"/>
          <w:kern w:val="0"/>
          <w:szCs w:val="24"/>
          <w:vertAlign w:val="superscript"/>
          <w:lang w:eastAsia="en-US"/>
        </w:rPr>
        <w:t>2</w:t>
      </w:r>
      <w:r w:rsidRPr="008A6A6E">
        <w:rPr>
          <w:rFonts w:eastAsia="Times New Roman" w:cs="Times New Roman"/>
          <w:color w:val="000000"/>
          <w:kern w:val="0"/>
          <w:szCs w:val="24"/>
          <w:lang w:eastAsia="en-US"/>
        </w:rPr>
        <w:t>)</w:t>
      </w:r>
    </w:p>
    <w:p w14:paraId="2AF4B3EC" w14:textId="77777777" w:rsidR="003E5B95" w:rsidRPr="00CB1535" w:rsidRDefault="003E5B95" w:rsidP="003E5B95">
      <w:pPr>
        <w:spacing w:after="160" w:line="259" w:lineRule="auto"/>
        <w:ind w:firstLine="0"/>
        <w:contextualSpacing w:val="0"/>
        <w:rPr>
          <w:rFonts w:eastAsia="Times New Roman" w:cs="Times New Roman"/>
          <w:color w:val="000000"/>
          <w:kern w:val="0"/>
          <w:sz w:val="22"/>
          <w:szCs w:val="22"/>
          <w:lang w:eastAsia="en-US"/>
        </w:rPr>
      </w:pPr>
    </w:p>
    <w:p w14:paraId="08A733B6" w14:textId="77777777" w:rsidR="003E5B95" w:rsidRDefault="003E5B95" w:rsidP="003E5B95">
      <w:pPr>
        <w:pStyle w:val="Caption"/>
        <w:keepNext/>
        <w:spacing w:line="480" w:lineRule="auto"/>
        <w:rPr>
          <w:sz w:val="24"/>
          <w:szCs w:val="24"/>
        </w:rPr>
      </w:pPr>
      <w:bookmarkStart w:id="256" w:name="_Toc73955281"/>
      <w:r w:rsidRPr="00A251DE">
        <w:rPr>
          <w:sz w:val="24"/>
          <w:szCs w:val="24"/>
        </w:rPr>
        <w:lastRenderedPageBreak/>
        <w:t xml:space="preserve">Figure </w:t>
      </w:r>
      <w:r w:rsidRPr="00A251DE">
        <w:rPr>
          <w:sz w:val="24"/>
          <w:szCs w:val="24"/>
        </w:rPr>
        <w:fldChar w:fldCharType="begin"/>
      </w:r>
      <w:r w:rsidRPr="00A251DE">
        <w:rPr>
          <w:sz w:val="24"/>
          <w:szCs w:val="24"/>
        </w:rPr>
        <w:instrText xml:space="preserve"> SEQ Figure \* ARABIC </w:instrText>
      </w:r>
      <w:r w:rsidRPr="00A251DE">
        <w:rPr>
          <w:sz w:val="24"/>
          <w:szCs w:val="24"/>
        </w:rPr>
        <w:fldChar w:fldCharType="separate"/>
      </w:r>
      <w:r w:rsidRPr="00A251DE">
        <w:rPr>
          <w:noProof/>
          <w:sz w:val="24"/>
          <w:szCs w:val="24"/>
        </w:rPr>
        <w:t>5</w:t>
      </w:r>
      <w:r w:rsidRPr="00A251DE">
        <w:rPr>
          <w:noProof/>
          <w:sz w:val="24"/>
          <w:szCs w:val="24"/>
        </w:rPr>
        <w:fldChar w:fldCharType="end"/>
      </w:r>
      <w:r w:rsidRPr="00A251DE">
        <w:rPr>
          <w:sz w:val="24"/>
          <w:szCs w:val="24"/>
        </w:rPr>
        <w:t xml:space="preserve"> </w:t>
      </w:r>
    </w:p>
    <w:p w14:paraId="117791D4" w14:textId="77777777" w:rsidR="003E5B95" w:rsidRPr="00A251DE" w:rsidRDefault="003E5B95" w:rsidP="003E5B95">
      <w:pPr>
        <w:pStyle w:val="Caption"/>
        <w:keepNext/>
        <w:spacing w:line="480" w:lineRule="auto"/>
        <w:rPr>
          <w:b w:val="0"/>
          <w:bCs/>
          <w:i/>
          <w:iCs w:val="0"/>
          <w:sz w:val="24"/>
          <w:szCs w:val="24"/>
        </w:rPr>
      </w:pPr>
      <w:r w:rsidRPr="00A251DE">
        <w:rPr>
          <w:b w:val="0"/>
          <w:bCs/>
          <w:i/>
          <w:iCs w:val="0"/>
          <w:sz w:val="24"/>
          <w:szCs w:val="24"/>
        </w:rPr>
        <w:t>Results of DAM</w:t>
      </w:r>
      <w:bookmarkEnd w:id="256"/>
    </w:p>
    <w:p w14:paraId="33223B26" w14:textId="77777777" w:rsidR="003E5B95" w:rsidRPr="00661C93" w:rsidRDefault="003E5B95" w:rsidP="003E5B95">
      <w:pPr>
        <w:spacing w:after="160"/>
        <w:ind w:firstLine="0"/>
        <w:contextualSpacing w:val="0"/>
        <w:rPr>
          <w:rFonts w:cs="Times New Roman"/>
          <w:kern w:val="0"/>
          <w:szCs w:val="24"/>
          <w:lang w:eastAsia="en-US"/>
        </w:rPr>
      </w:pPr>
      <w:r w:rsidRPr="00AC29E4">
        <w:rPr>
          <w:rFonts w:cs="Times New Roman"/>
          <w:noProof/>
          <w:kern w:val="0"/>
          <w:szCs w:val="24"/>
          <w:lang w:eastAsia="en-US"/>
        </w:rPr>
        <w:drawing>
          <wp:inline distT="0" distB="0" distL="0" distR="0" wp14:anchorId="73F368E5" wp14:editId="5C0C0E27">
            <wp:extent cx="5896610" cy="3196167"/>
            <wp:effectExtent l="38100" t="38100" r="46990" b="42545"/>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10;&#10;Description automatically generated"/>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10510" cy="3203701"/>
                    </a:xfrm>
                    <a:prstGeom prst="rect">
                      <a:avLst/>
                    </a:prstGeom>
                    <a:ln w="25400">
                      <a:solidFill>
                        <a:sysClr val="windowText" lastClr="000000"/>
                      </a:solidFill>
                    </a:ln>
                  </pic:spPr>
                </pic:pic>
              </a:graphicData>
            </a:graphic>
          </wp:inline>
        </w:drawing>
      </w:r>
    </w:p>
    <w:p w14:paraId="4343DF12" w14:textId="77777777" w:rsidR="003E5B95" w:rsidRPr="004011E1" w:rsidRDefault="003E5B95" w:rsidP="003E5B95">
      <w:pPr>
        <w:pStyle w:val="Heading1"/>
        <w:rPr>
          <w:b/>
          <w:bCs/>
          <w:lang w:eastAsia="en-US"/>
        </w:rPr>
      </w:pPr>
      <w:bookmarkStart w:id="257" w:name="_Toc74045262"/>
      <w:bookmarkStart w:id="258" w:name="_Toc74087547"/>
      <w:bookmarkStart w:id="259" w:name="_Toc74258663"/>
      <w:r w:rsidRPr="004011E1">
        <w:rPr>
          <w:b/>
          <w:bCs/>
          <w:lang w:eastAsia="en-US"/>
        </w:rPr>
        <w:t>DISCUSSION</w:t>
      </w:r>
      <w:bookmarkEnd w:id="257"/>
      <w:bookmarkEnd w:id="258"/>
      <w:bookmarkEnd w:id="259"/>
    </w:p>
    <w:p w14:paraId="1DD18D35" w14:textId="37CE71C4" w:rsidR="003E5B95" w:rsidRDefault="003E5B95" w:rsidP="003E5B95">
      <w:pPr>
        <w:spacing w:after="160"/>
        <w:contextualSpacing w:val="0"/>
        <w:rPr>
          <w:rFonts w:cs="Times New Roman"/>
          <w:bCs/>
          <w:kern w:val="0"/>
          <w:szCs w:val="24"/>
          <w:lang w:eastAsia="en-US"/>
        </w:rPr>
      </w:pPr>
      <w:r w:rsidRPr="00AC29E4">
        <w:rPr>
          <w:rFonts w:cs="Times New Roman"/>
          <w:bCs/>
          <w:kern w:val="0"/>
          <w:szCs w:val="24"/>
          <w:lang w:eastAsia="en-US"/>
        </w:rPr>
        <w:t>The current research has aimed to understand how cybersecurity professionals appraise EMS technologies as a source of stress and how these appraisals result in different behavioral outcomes. More importantly, we noted four gaps in the literature on stress: 1) there is a lack of focus on the demand appraisal process, that is, why certain demands are considered more stressful than others; 2) there is a lack of understanding of the positive side of stress; that is, based on an individual’s appraisal, certain demands can result in the positive psychological states such as challenge stress; 3) there is a gap in our understanding of stress as a dual process phenomenon encompassing positive and negative psychological states and the behavioral outcomes associated with those emotional states</w:t>
      </w:r>
      <w:r w:rsidR="003C0000">
        <w:rPr>
          <w:rFonts w:cs="Times New Roman"/>
          <w:bCs/>
          <w:kern w:val="0"/>
          <w:szCs w:val="24"/>
          <w:lang w:eastAsia="en-US"/>
        </w:rPr>
        <w:t xml:space="preserve">, </w:t>
      </w:r>
      <w:r w:rsidRPr="00AC29E4">
        <w:rPr>
          <w:rFonts w:cs="Times New Roman"/>
          <w:bCs/>
          <w:kern w:val="0"/>
          <w:szCs w:val="24"/>
          <w:lang w:eastAsia="en-US"/>
        </w:rPr>
        <w:t xml:space="preserve">and 4) prior research has discussed the </w:t>
      </w:r>
      <w:r w:rsidRPr="00AC29E4">
        <w:rPr>
          <w:rFonts w:cs="Times New Roman"/>
          <w:bCs/>
          <w:kern w:val="0"/>
          <w:szCs w:val="24"/>
          <w:lang w:eastAsia="en-US"/>
        </w:rPr>
        <w:lastRenderedPageBreak/>
        <w:t xml:space="preserve">employees’ reaction to organization’s EMS practices but has not given much attention to the experiences of cybersecurity professionals in charge of implementing and/or maintaining them. </w:t>
      </w:r>
    </w:p>
    <w:p w14:paraId="0B22F1AA" w14:textId="06D0E9DC" w:rsidR="003E5B95" w:rsidRDefault="003E5B95" w:rsidP="003E5B95">
      <w:pPr>
        <w:spacing w:after="160"/>
        <w:contextualSpacing w:val="0"/>
        <w:rPr>
          <w:rFonts w:cs="Times New Roman"/>
          <w:bCs/>
          <w:kern w:val="0"/>
          <w:szCs w:val="24"/>
          <w:lang w:eastAsia="en-US"/>
        </w:rPr>
      </w:pPr>
      <w:r w:rsidRPr="00AC29E4">
        <w:rPr>
          <w:rFonts w:cs="Times New Roman"/>
          <w:bCs/>
          <w:kern w:val="0"/>
          <w:szCs w:val="24"/>
          <w:lang w:eastAsia="en-US"/>
        </w:rPr>
        <w:t xml:space="preserve">To address these gaps, we first conceptually derived a DAM based on </w:t>
      </w:r>
      <w:r>
        <w:rPr>
          <w:rFonts w:cs="Times New Roman"/>
          <w:bCs/>
          <w:kern w:val="0"/>
          <w:szCs w:val="24"/>
          <w:lang w:eastAsia="en-US"/>
        </w:rPr>
        <w:t xml:space="preserve">the </w:t>
      </w:r>
      <w:r w:rsidRPr="00AC29E4">
        <w:rPr>
          <w:rFonts w:cs="Times New Roman"/>
          <w:bCs/>
          <w:kern w:val="0"/>
          <w:szCs w:val="24"/>
          <w:lang w:eastAsia="en-US"/>
        </w:rPr>
        <w:t xml:space="preserve">transactional theory of stress to present a general idea of how EMS demands are appraised. We then used a qualitative study involving cybersecurity professionals in the U.S. to refine this model and add context specificity, forming a contextualized version to be empirically tested. Tests of the model using a field survey of a larger population of U.S. cybersecurity professionals revealed that an </w:t>
      </w:r>
      <w:r w:rsidRPr="00AC29E4">
        <w:rPr>
          <w:rFonts w:cs="Times New Roman"/>
          <w:kern w:val="0"/>
          <w:szCs w:val="24"/>
          <w:lang w:eastAsia="en-US"/>
        </w:rPr>
        <w:t xml:space="preserve">EMS technology (demand) is neutral. When cybersecurity professionals are exposed to EMS technology, they first cognitively appraise its relevance based on its characteristics and the security climate in which it is embedded through the lens of their dispositions. Relevant EMS technologies are then further appraised based on the control the cybersecurity professional has over them, forming perceptions of challenge and/or hindrance stress to which PFS and EFC responses are ultimately provided. </w:t>
      </w:r>
    </w:p>
    <w:p w14:paraId="569DBE34" w14:textId="3A8DE990" w:rsidR="003E5B95" w:rsidRDefault="003E5B95" w:rsidP="003E5B95">
      <w:pPr>
        <w:spacing w:after="160"/>
        <w:contextualSpacing w:val="0"/>
        <w:rPr>
          <w:rFonts w:cs="Times New Roman"/>
          <w:bCs/>
          <w:kern w:val="0"/>
          <w:szCs w:val="24"/>
          <w:lang w:eastAsia="en-US"/>
        </w:rPr>
      </w:pPr>
      <w:r w:rsidRPr="00AC29E4">
        <w:rPr>
          <w:rFonts w:cs="Times New Roman"/>
          <w:kern w:val="0"/>
          <w:szCs w:val="24"/>
          <w:lang w:eastAsia="en-US"/>
        </w:rPr>
        <w:t>Tests of the Stage I model, which are representative of the primary appraisal of an EMS demand, suggest that there are certain EMS demand characteristics that are 1) uniformly appraised as relevant in the stress process, regardless of the personality disposition of cybersecurity professionals (e.g., interoperability</w:t>
      </w:r>
      <w:r w:rsidR="00C80E53">
        <w:rPr>
          <w:rFonts w:cs="Times New Roman"/>
          <w:kern w:val="0"/>
          <w:szCs w:val="24"/>
          <w:lang w:eastAsia="en-US"/>
        </w:rPr>
        <w:t xml:space="preserve"> </w:t>
      </w:r>
      <w:r w:rsidRPr="00AC29E4">
        <w:rPr>
          <w:rFonts w:cs="Times New Roman"/>
          <w:kern w:val="0"/>
          <w:szCs w:val="24"/>
          <w:lang w:eastAsia="en-US"/>
        </w:rPr>
        <w:t xml:space="preserve">and rate of false positives), 2) dependent on the personality dispositions of cybersecurity professionals appraising them (e.g., rate of false negatives), and 3) uniformly appraised as relevant yet while also showing that its appraisal is influenced by personality dispositions (e.g., the usefulness of EMS technology). On the other hand, the appraisal of job environment characteristics (security climate) is a personality-dependent factor and influenced by the dispositions of the cybersecurity professionals appraising them. </w:t>
      </w:r>
    </w:p>
    <w:p w14:paraId="7C96BA9C" w14:textId="7EBAF789" w:rsidR="003E5B95" w:rsidRDefault="003E5B95" w:rsidP="003E5B95">
      <w:pPr>
        <w:spacing w:after="160"/>
        <w:contextualSpacing w:val="0"/>
        <w:rPr>
          <w:rFonts w:cs="Times New Roman"/>
          <w:bCs/>
          <w:kern w:val="0"/>
          <w:szCs w:val="24"/>
          <w:lang w:eastAsia="en-US"/>
        </w:rPr>
      </w:pPr>
      <w:r w:rsidRPr="00AC29E4">
        <w:rPr>
          <w:rFonts w:cs="Times New Roman"/>
          <w:kern w:val="0"/>
          <w:szCs w:val="24"/>
          <w:lang w:eastAsia="en-US"/>
        </w:rPr>
        <w:lastRenderedPageBreak/>
        <w:t xml:space="preserve">Further, our results show that personal disposition has an influence over the stress process, where certain demands are appraised as more relevant than the other. Our result suggests that agreeableness and negative emotionality are the two key personal dispositions that help shape how cybersecurity professionals appraise stress related to EMS demands. These two personality traits have also emerged as significant factors in prior stress research </w:t>
      </w:r>
      <w:r w:rsidRPr="00AC29E4">
        <w:rPr>
          <w:rFonts w:cs="Times New Roman"/>
          <w:noProof/>
          <w:kern w:val="0"/>
          <w:szCs w:val="24"/>
          <w:lang w:eastAsia="en-US"/>
        </w:rPr>
        <w:t>(Maier et al., 2019; Srivastava et al., 2015)</w:t>
      </w:r>
      <w:r w:rsidRPr="00AC29E4">
        <w:rPr>
          <w:rFonts w:cs="Times New Roman"/>
          <w:kern w:val="0"/>
          <w:szCs w:val="24"/>
          <w:lang w:eastAsia="en-US"/>
        </w:rPr>
        <w:t xml:space="preserve"> and information security research </w:t>
      </w:r>
      <w:r w:rsidRPr="00AC29E4">
        <w:rPr>
          <w:rFonts w:cs="Times New Roman"/>
          <w:noProof/>
          <w:kern w:val="0"/>
          <w:szCs w:val="24"/>
          <w:lang w:eastAsia="en-US"/>
        </w:rPr>
        <w:t>(Johnston et al., 2016)</w:t>
      </w:r>
      <w:r w:rsidRPr="00AC29E4">
        <w:rPr>
          <w:rFonts w:cs="Times New Roman"/>
          <w:kern w:val="0"/>
          <w:szCs w:val="24"/>
          <w:lang w:eastAsia="en-US"/>
        </w:rPr>
        <w:t xml:space="preserve">. Our results also show that cybersecurity professionals who are high in agreeableness indeed find the usefulness of EMS technologies to be critical to their appraisal of EMS demands as relevant to their job. Cybersecurity professionals higher in this trait are risk-averse and avoid threats </w:t>
      </w:r>
      <w:r w:rsidRPr="00AC29E4">
        <w:rPr>
          <w:rFonts w:cs="Times New Roman"/>
          <w:noProof/>
          <w:kern w:val="0"/>
          <w:szCs w:val="24"/>
          <w:lang w:eastAsia="en-US"/>
        </w:rPr>
        <w:t>(Johnston et al., 2016)</w:t>
      </w:r>
      <w:r w:rsidRPr="00AC29E4">
        <w:rPr>
          <w:rFonts w:cs="Times New Roman"/>
          <w:kern w:val="0"/>
          <w:szCs w:val="24"/>
          <w:lang w:eastAsia="en-US"/>
        </w:rPr>
        <w:t xml:space="preserve">, so the usefulness of an EMS technology is a significant characteristic because it suggests that technologies will provide value to them as they go about implementing and maintaining EMS functions in their places of work. Cybersecurity professionals high in agreeableness are compassionate about their work, respectful, and hold positive beliefs about others while inhibiting their aggressive impulses </w:t>
      </w:r>
      <w:r w:rsidRPr="00AC29E4">
        <w:rPr>
          <w:rFonts w:cs="Times New Roman"/>
          <w:noProof/>
          <w:kern w:val="0"/>
          <w:szCs w:val="24"/>
          <w:lang w:eastAsia="en-US"/>
        </w:rPr>
        <w:t>(Soto &amp; John, 2017)</w:t>
      </w:r>
      <w:r w:rsidRPr="00AC29E4">
        <w:rPr>
          <w:rFonts w:cs="Times New Roman"/>
          <w:kern w:val="0"/>
          <w:szCs w:val="24"/>
          <w:lang w:eastAsia="en-US"/>
        </w:rPr>
        <w:t xml:space="preserve">; these people are internally driven and are less affected by external factors such as the security climate. Because these people are internally oriented, as agreeableness increases, the influence of the security climate in determining the relevance of EMS as a stressor </w:t>
      </w:r>
      <w:proofErr w:type="gramStart"/>
      <w:r w:rsidRPr="00AC29E4">
        <w:rPr>
          <w:rFonts w:cs="Times New Roman"/>
          <w:kern w:val="0"/>
          <w:szCs w:val="24"/>
          <w:lang w:eastAsia="en-US"/>
        </w:rPr>
        <w:t>decreases</w:t>
      </w:r>
      <w:proofErr w:type="gramEnd"/>
      <w:r w:rsidRPr="00AC29E4">
        <w:rPr>
          <w:rFonts w:cs="Times New Roman"/>
          <w:kern w:val="0"/>
          <w:szCs w:val="24"/>
          <w:lang w:eastAsia="en-US"/>
        </w:rPr>
        <w:t xml:space="preserve">. </w:t>
      </w:r>
    </w:p>
    <w:p w14:paraId="3D81FE30" w14:textId="285417DC" w:rsidR="003E5B95" w:rsidRDefault="003E5B95" w:rsidP="003E5B95">
      <w:pPr>
        <w:spacing w:after="160"/>
        <w:contextualSpacing w:val="0"/>
        <w:rPr>
          <w:rFonts w:cs="Times New Roman"/>
          <w:bCs/>
          <w:kern w:val="0"/>
          <w:szCs w:val="24"/>
          <w:lang w:eastAsia="en-US"/>
        </w:rPr>
      </w:pPr>
      <w:r w:rsidRPr="00AC29E4">
        <w:rPr>
          <w:rFonts w:cs="Times New Roman"/>
          <w:kern w:val="0"/>
          <w:szCs w:val="24"/>
          <w:lang w:eastAsia="en-US"/>
        </w:rPr>
        <w:t xml:space="preserve">We also note that negative emotionality negatively moderates the relationship between false negative alarms and </w:t>
      </w:r>
      <w:r w:rsidR="00C80E53">
        <w:rPr>
          <w:rFonts w:cs="Times New Roman"/>
          <w:kern w:val="0"/>
          <w:szCs w:val="24"/>
          <w:lang w:eastAsia="en-US"/>
        </w:rPr>
        <w:t xml:space="preserve">the </w:t>
      </w:r>
      <w:r w:rsidRPr="00AC29E4">
        <w:rPr>
          <w:rFonts w:cs="Times New Roman"/>
          <w:kern w:val="0"/>
          <w:szCs w:val="24"/>
          <w:lang w:eastAsia="en-US"/>
        </w:rPr>
        <w:t xml:space="preserve">relevance of EMS technology as a stressor. Negative emotionality involves negative emotional experiences, such as fear, sadness, anxiety, anger, and depression </w:t>
      </w:r>
      <w:r w:rsidRPr="00AC29E4">
        <w:rPr>
          <w:rFonts w:cs="Times New Roman"/>
          <w:noProof/>
          <w:kern w:val="0"/>
          <w:szCs w:val="24"/>
          <w:lang w:eastAsia="en-US"/>
        </w:rPr>
        <w:t>(Soto &amp; John, 2017)</w:t>
      </w:r>
      <w:r w:rsidRPr="00AC29E4">
        <w:rPr>
          <w:rFonts w:cs="Times New Roman"/>
          <w:kern w:val="0"/>
          <w:szCs w:val="24"/>
          <w:lang w:eastAsia="en-US"/>
        </w:rPr>
        <w:t xml:space="preserve">. Hence, when this trait is lower, cybersecurity professionals find the false negative alarms (i.e., no indication when an intrusion occurs) as a relevant stressor. When this trait is high, cybersecurity professionals can be emotionally volatile and experience mood swings </w:t>
      </w:r>
      <w:r w:rsidRPr="00AC29E4">
        <w:rPr>
          <w:rFonts w:cs="Times New Roman"/>
          <w:kern w:val="0"/>
          <w:szCs w:val="24"/>
          <w:lang w:eastAsia="en-US"/>
        </w:rPr>
        <w:lastRenderedPageBreak/>
        <w:t xml:space="preserve">and low levels of energy, which tend to be accompanied by a disruption in social interactions </w:t>
      </w:r>
      <w:r w:rsidRPr="00AC29E4">
        <w:rPr>
          <w:rFonts w:cs="Times New Roman"/>
          <w:noProof/>
          <w:kern w:val="0"/>
          <w:szCs w:val="24"/>
          <w:lang w:eastAsia="en-US"/>
        </w:rPr>
        <w:t>(Soto &amp; John, 2017)</w:t>
      </w:r>
      <w:r w:rsidRPr="00AC29E4">
        <w:rPr>
          <w:rFonts w:cs="Times New Roman"/>
          <w:kern w:val="0"/>
          <w:szCs w:val="24"/>
          <w:lang w:eastAsia="en-US"/>
        </w:rPr>
        <w:t xml:space="preserve">. Because cybersecurity professionals with high negative emotionality will already be experiencing a negative psychological state implementation and/or maintenance of EMS, the technology can be a stressful experience for them. Prior stress has also shown that negative emotionality and agreeableness are significant personality traits that influence the stress process </w:t>
      </w:r>
      <w:r w:rsidRPr="00AC29E4">
        <w:rPr>
          <w:rFonts w:cs="Times New Roman"/>
          <w:noProof/>
          <w:kern w:val="0"/>
          <w:szCs w:val="24"/>
          <w:lang w:eastAsia="en-US"/>
        </w:rPr>
        <w:t>(Maier et al., 2019; Maier et al., 2017; Srivastava et al., 2015)</w:t>
      </w:r>
      <w:r w:rsidRPr="00AC29E4">
        <w:rPr>
          <w:rFonts w:cs="Times New Roman"/>
          <w:kern w:val="0"/>
          <w:szCs w:val="24"/>
          <w:lang w:eastAsia="en-US"/>
        </w:rPr>
        <w:t xml:space="preserve">. However, we did not find extraversion, openness to experience, and conscientiousness as being significant personality traits influencing the appraisal of EMS demands. Prior research on technostress has reported similar findings, where extraversion, conscientiousness, and openness to experience were found to have a nonsignificant influence on the stress process </w:t>
      </w:r>
      <w:r w:rsidRPr="00AC29E4">
        <w:rPr>
          <w:rFonts w:cs="Times New Roman"/>
          <w:noProof/>
          <w:kern w:val="0"/>
          <w:szCs w:val="24"/>
          <w:lang w:eastAsia="en-US"/>
        </w:rPr>
        <w:t>(Maier et al., 2019)</w:t>
      </w:r>
      <w:r w:rsidRPr="00AC29E4">
        <w:rPr>
          <w:rFonts w:cs="Times New Roman"/>
          <w:kern w:val="0"/>
          <w:szCs w:val="24"/>
          <w:lang w:eastAsia="en-US"/>
        </w:rPr>
        <w:t xml:space="preserve">. </w:t>
      </w:r>
    </w:p>
    <w:p w14:paraId="3F0159AB" w14:textId="77777777" w:rsidR="003E5B95" w:rsidRDefault="003E5B95" w:rsidP="003E5B95">
      <w:pPr>
        <w:spacing w:after="160"/>
        <w:contextualSpacing w:val="0"/>
        <w:rPr>
          <w:rFonts w:cs="Times New Roman"/>
          <w:bCs/>
          <w:kern w:val="0"/>
          <w:szCs w:val="24"/>
          <w:lang w:eastAsia="en-US"/>
        </w:rPr>
      </w:pPr>
      <w:r w:rsidRPr="00AC29E4">
        <w:rPr>
          <w:rFonts w:cs="Times New Roman"/>
          <w:kern w:val="0"/>
          <w:szCs w:val="24"/>
          <w:lang w:eastAsia="en-US"/>
        </w:rPr>
        <w:t xml:space="preserve">The results of the Stage II model tests, which are also representative of the secondary appraisal process, show that a relevant demand results in an experience of challenge stress and hindrance stress. Both forms of stress are present for relevant demands but in different magnitudes. Intuitively, cybersecurity professionals have a low level of control over EMS demands, and they experience a significantly higher level of hindrance stress than challenge stress. Contrary to our hypotheses, a high level of control over EMS demands also resulted in a higher perception of hindrance stress than challenge stress. One probable explanation for this result can be that the security environment is unpredictable and uncertain and that it presents constant threats to the businesses from insider and outside hackers, where even a high control situation (e.g., having all the skills, knowledge, and support that may be required to manage an EMS technology) seems lacking in the necessary control over the unknown threats. Therefore, in this case, if the relevance of EMS demand increases, it will only trigger a sense of hindrance to the essential job functions. </w:t>
      </w:r>
    </w:p>
    <w:p w14:paraId="31D9D3FB" w14:textId="77777777" w:rsidR="003E5B95" w:rsidRPr="00664155" w:rsidRDefault="003E5B95" w:rsidP="003E5B95">
      <w:pPr>
        <w:spacing w:after="160"/>
        <w:contextualSpacing w:val="0"/>
        <w:rPr>
          <w:rFonts w:cs="Times New Roman"/>
          <w:bCs/>
          <w:kern w:val="0"/>
          <w:szCs w:val="24"/>
          <w:lang w:eastAsia="en-US"/>
        </w:rPr>
      </w:pPr>
      <w:r w:rsidRPr="00AC29E4">
        <w:rPr>
          <w:rFonts w:cs="Times New Roman"/>
          <w:kern w:val="0"/>
          <w:szCs w:val="24"/>
          <w:lang w:eastAsia="en-US"/>
        </w:rPr>
        <w:lastRenderedPageBreak/>
        <w:t xml:space="preserve">The third and last stage of the model tests—Stage III—suggests that cybersecurity professionals will engage in PFS and EFC responses to the challenge and hindrance stress they perceive. In general, these responses involve a cybersecurity professional’s effort to change his/her external environment or adapt to their work environment either through work adaptation (e.g., eliminating certain tasks that can be accomplished with the help of EMS technology), technology adaptation (e.g., adjusting functionalities of EMS technology to make it more efficient), or adapting oneself to EMS technologies through training, education, or skill development. </w:t>
      </w:r>
    </w:p>
    <w:p w14:paraId="0CA61C61" w14:textId="16EC4A7A" w:rsidR="003E5B95" w:rsidRPr="004011E1" w:rsidRDefault="003E5B95" w:rsidP="003E5B95">
      <w:pPr>
        <w:pStyle w:val="Heading1"/>
        <w:rPr>
          <w:b/>
          <w:bCs/>
          <w:lang w:eastAsia="en-US"/>
        </w:rPr>
      </w:pPr>
      <w:bookmarkStart w:id="260" w:name="_Toc74045263"/>
      <w:bookmarkStart w:id="261" w:name="_Toc74087548"/>
      <w:bookmarkStart w:id="262" w:name="_Toc74258664"/>
      <w:r w:rsidRPr="004011E1">
        <w:rPr>
          <w:b/>
          <w:bCs/>
          <w:lang w:eastAsia="en-US"/>
        </w:rPr>
        <w:t>C</w:t>
      </w:r>
      <w:bookmarkEnd w:id="260"/>
      <w:bookmarkEnd w:id="261"/>
      <w:bookmarkEnd w:id="262"/>
      <w:r w:rsidR="00FF336A">
        <w:rPr>
          <w:b/>
          <w:bCs/>
          <w:lang w:eastAsia="en-US"/>
        </w:rPr>
        <w:t>ONTRIBUTIONS TO RESEARCH</w:t>
      </w:r>
    </w:p>
    <w:p w14:paraId="5B9B60B2" w14:textId="77777777"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The current research makes four contributions: three to the broad stress research literature and one to IT security research. First, presenting stress as a process through the theoretical lens of </w:t>
      </w:r>
      <w:r>
        <w:rPr>
          <w:rFonts w:cs="Times New Roman"/>
          <w:kern w:val="0"/>
          <w:szCs w:val="24"/>
          <w:lang w:eastAsia="en-US"/>
        </w:rPr>
        <w:t xml:space="preserve">the </w:t>
      </w:r>
      <w:r w:rsidRPr="00AC29E4">
        <w:rPr>
          <w:rFonts w:cs="Times New Roman"/>
          <w:kern w:val="0"/>
          <w:szCs w:val="24"/>
          <w:lang w:eastAsia="en-US"/>
        </w:rPr>
        <w:t xml:space="preserve">transactional theory of stress, we show that stress experiences involve two broad phases: 1) cognitive appraisal and 2) savoring and coping responses. In doing so, we have created and empirically tested a demand appraisal process that lacked attention in prior research </w:t>
      </w:r>
      <w:r w:rsidRPr="00AC29E4">
        <w:rPr>
          <w:rFonts w:cs="Times New Roman"/>
          <w:noProof/>
          <w:kern w:val="0"/>
          <w:szCs w:val="24"/>
          <w:lang w:eastAsia="en-US"/>
        </w:rPr>
        <w:t>(Tarafdar et al., 2017)</w:t>
      </w:r>
      <w:r w:rsidRPr="00AC29E4">
        <w:rPr>
          <w:rFonts w:cs="Times New Roman"/>
          <w:kern w:val="0"/>
          <w:szCs w:val="24"/>
          <w:lang w:eastAsia="en-US"/>
        </w:rPr>
        <w:t xml:space="preserve">. Save for a few exceptions where prior research mentioned stress appraisals in the form of primary and secondary appraisals </w:t>
      </w:r>
      <w:r w:rsidRPr="00AC29E4">
        <w:rPr>
          <w:rFonts w:cs="Times New Roman"/>
          <w:noProof/>
          <w:kern w:val="0"/>
          <w:szCs w:val="24"/>
          <w:lang w:eastAsia="en-US"/>
        </w:rPr>
        <w:t>(Galluch et al., 2015)</w:t>
      </w:r>
      <w:r w:rsidRPr="00AC29E4">
        <w:rPr>
          <w:rFonts w:cs="Times New Roman"/>
          <w:kern w:val="0"/>
          <w:szCs w:val="24"/>
          <w:lang w:eastAsia="en-US"/>
        </w:rPr>
        <w:t xml:space="preserve">, much of the research on stress has regarded demands as already appraised stressors, leaving a gap in our understanding of the appraisal process itself. </w:t>
      </w:r>
    </w:p>
    <w:p w14:paraId="72D973FD" w14:textId="67E65D74"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Second, we extend IS stress research in the positive psychology domain as opposed to prior IS research that primarily has focused on the negative aspects of a demand, here also referring to as the dark side of stress phenomenon </w:t>
      </w:r>
      <w:r w:rsidRPr="00AC29E4">
        <w:rPr>
          <w:rFonts w:cs="Times New Roman"/>
          <w:noProof/>
          <w:kern w:val="0"/>
          <w:szCs w:val="24"/>
          <w:lang w:eastAsia="en-US"/>
        </w:rPr>
        <w:t>(Tarafdar et al., 2017)</w:t>
      </w:r>
      <w:r w:rsidRPr="00AC29E4">
        <w:rPr>
          <w:rFonts w:cs="Times New Roman"/>
          <w:kern w:val="0"/>
          <w:szCs w:val="24"/>
          <w:lang w:eastAsia="en-US"/>
        </w:rPr>
        <w:t xml:space="preserve">. Limited evidence has been presented so far that a demand results in both positive and negative psychological states and </w:t>
      </w:r>
      <w:r w:rsidRPr="00AC29E4">
        <w:rPr>
          <w:rFonts w:cs="Times New Roman"/>
          <w:kern w:val="0"/>
          <w:szCs w:val="24"/>
          <w:lang w:eastAsia="en-US"/>
        </w:rPr>
        <w:lastRenderedPageBreak/>
        <w:t xml:space="preserve">outcomes </w:t>
      </w:r>
      <w:r w:rsidRPr="00AC29E4">
        <w:rPr>
          <w:rFonts w:cs="Times New Roman"/>
          <w:noProof/>
          <w:kern w:val="0"/>
          <w:szCs w:val="24"/>
          <w:lang w:eastAsia="en-US"/>
        </w:rPr>
        <w:t>(Califf et al., 2020)</w:t>
      </w:r>
      <w:r w:rsidRPr="00AC29E4">
        <w:rPr>
          <w:rFonts w:cs="Times New Roman"/>
          <w:kern w:val="0"/>
          <w:szCs w:val="24"/>
          <w:lang w:eastAsia="en-US"/>
        </w:rPr>
        <w:t>. Through our mixed methods research approach, we have provided empirical evidence that a demand is not always associated with feelings of obstacles or hindrances but can also lead to a positive psychological state in the form of challenge stress. We further provide evidence that both forms of stress are present concurrently, but people experience different magnitudes of them depending on the amount of control they believe they have over the demands. The inclusion of challenge stress or positive psychological states in general in IS stress research will help transition the literature from a sole focus on hindrance stress or the dark side of stress phenomenon to a more holistic focus</w:t>
      </w:r>
      <w:r w:rsidR="00414885">
        <w:rPr>
          <w:rFonts w:cs="Times New Roman"/>
          <w:kern w:val="0"/>
          <w:szCs w:val="24"/>
          <w:lang w:eastAsia="en-US"/>
        </w:rPr>
        <w:t xml:space="preserve">, </w:t>
      </w:r>
      <w:r w:rsidRPr="00AC29E4">
        <w:rPr>
          <w:rFonts w:cs="Times New Roman"/>
          <w:kern w:val="0"/>
          <w:szCs w:val="24"/>
          <w:lang w:eastAsia="en-US"/>
        </w:rPr>
        <w:t xml:space="preserve">including both positive and negative psychological states and their associated outcomes. </w:t>
      </w:r>
    </w:p>
    <w:p w14:paraId="1B439D42" w14:textId="77777777"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Third, we show through a theory-driven approach that savoring and coping are related but distinct and separate mechanisms. Challenge stress is associated more strongly with acts of stress savoring and actions designed to approach the stress-causing demand from a problem-solving approach directed at adapting oneself, technology, and work. We also show that hindrance stress is associated more strongly with EFC responses designed to deal with negative emotional disturbances. Here, we contribute to stress research by providing empirical support for problem-focused adaptation efforts in the event of challenge stress, which has not been explored in prior research, mainly because stress has been approached from the hindrance stress perspective.  </w:t>
      </w:r>
    </w:p>
    <w:p w14:paraId="0BF4B9A2" w14:textId="77777777" w:rsidR="003E5B95" w:rsidRPr="00AC29E4"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Finally, the current research is situated within the IT security context, where stress is used as another variable to explain noncompliant user behavior through EFC, primarily through moral disengagement and neutralization </w:t>
      </w:r>
      <w:r w:rsidRPr="00AC29E4">
        <w:rPr>
          <w:rFonts w:cs="Times New Roman"/>
          <w:noProof/>
          <w:kern w:val="0"/>
          <w:szCs w:val="24"/>
          <w:lang w:eastAsia="en-US"/>
        </w:rPr>
        <w:t>(D'Arcy et al., 2014; D'Arcy et al., 2018; D’Arcy &amp; Teh, 2019)</w:t>
      </w:r>
      <w:r w:rsidRPr="00AC29E4">
        <w:rPr>
          <w:rFonts w:cs="Times New Roman"/>
          <w:kern w:val="0"/>
          <w:szCs w:val="24"/>
          <w:lang w:eastAsia="en-US"/>
        </w:rPr>
        <w:t xml:space="preserve">. The findings of the present research can be generalized to suggest that users may not always engage in the EFC responses that lead to noncompliant behaviors; rather, they can also engage in PFS responses that can enhance their chances for compliance. We suggest that stress is </w:t>
      </w:r>
      <w:r w:rsidRPr="00AC29E4">
        <w:rPr>
          <w:rFonts w:cs="Times New Roman"/>
          <w:kern w:val="0"/>
          <w:szCs w:val="24"/>
          <w:lang w:eastAsia="en-US"/>
        </w:rPr>
        <w:lastRenderedPageBreak/>
        <w:t xml:space="preserve">not just another variable to understand noncompliant behaviors; rather, stress research in the information security domain should be approached from a more holistic perspective focusing on the experiences of security professionals that should include much more than just the information security policies and procedures. </w:t>
      </w:r>
    </w:p>
    <w:p w14:paraId="4682285C" w14:textId="1EBB17D3" w:rsidR="003E5B95" w:rsidRPr="004011E1" w:rsidRDefault="003E5B95" w:rsidP="003E5B95">
      <w:pPr>
        <w:pStyle w:val="Heading1"/>
        <w:rPr>
          <w:b/>
          <w:bCs/>
          <w:lang w:eastAsia="en-US"/>
        </w:rPr>
      </w:pPr>
      <w:bookmarkStart w:id="263" w:name="_Toc74045264"/>
      <w:bookmarkStart w:id="264" w:name="_Toc74087549"/>
      <w:bookmarkStart w:id="265" w:name="_Toc74258665"/>
      <w:r w:rsidRPr="004011E1">
        <w:rPr>
          <w:b/>
          <w:bCs/>
          <w:lang w:eastAsia="en-US"/>
        </w:rPr>
        <w:t>C</w:t>
      </w:r>
      <w:bookmarkEnd w:id="263"/>
      <w:bookmarkEnd w:id="264"/>
      <w:bookmarkEnd w:id="265"/>
      <w:r w:rsidR="00FF336A">
        <w:rPr>
          <w:b/>
          <w:bCs/>
          <w:lang w:eastAsia="en-US"/>
        </w:rPr>
        <w:t>ONTRIBUTIONS TO PRACTICE</w:t>
      </w:r>
    </w:p>
    <w:p w14:paraId="0A532738" w14:textId="3A13CEAE" w:rsidR="003E5B95" w:rsidRPr="00AC29E4" w:rsidRDefault="003E5B95" w:rsidP="003E5B95">
      <w:pPr>
        <w:spacing w:after="160"/>
        <w:contextualSpacing w:val="0"/>
        <w:rPr>
          <w:rFonts w:cs="Times New Roman"/>
          <w:kern w:val="0"/>
          <w:szCs w:val="24"/>
          <w:lang w:eastAsia="en-US"/>
        </w:rPr>
      </w:pPr>
      <w:r w:rsidRPr="00AC29E4">
        <w:rPr>
          <w:rFonts w:cs="Times New Roman"/>
          <w:kern w:val="0"/>
          <w:szCs w:val="24"/>
          <w:lang w:eastAsia="en-US"/>
        </w:rPr>
        <w:t xml:space="preserve">We show that EMS technologies, while valuable for their ability to contribute to an organization’s overall security program, have serious implications for the cybersecurity professionals charged with their implementation and/or maintenance. Through a systemic research methodology, we have shown that cybersecurity professionals experience </w:t>
      </w:r>
      <w:r w:rsidR="00414885">
        <w:rPr>
          <w:rFonts w:cs="Times New Roman"/>
          <w:kern w:val="0"/>
          <w:szCs w:val="24"/>
          <w:lang w:eastAsia="en-US"/>
        </w:rPr>
        <w:t xml:space="preserve">the </w:t>
      </w:r>
      <w:r w:rsidRPr="00AC29E4">
        <w:rPr>
          <w:rFonts w:cs="Times New Roman"/>
          <w:kern w:val="0"/>
          <w:szCs w:val="24"/>
          <w:lang w:eastAsia="en-US"/>
        </w:rPr>
        <w:t>challenge and hindrance stress from their EMS technology implementation and/or maintenance efforts, with a tendency to experience more hindrance than challenge stress if they do not feel in control of the technology. This outcome is critical in that because of the unpredictable and volatile environments in which cybersecurity professionals work,</w:t>
      </w:r>
      <w:r w:rsidR="00414885">
        <w:rPr>
          <w:rFonts w:cs="Times New Roman"/>
          <w:kern w:val="0"/>
          <w:szCs w:val="24"/>
          <w:lang w:eastAsia="en-US"/>
        </w:rPr>
        <w:t xml:space="preserve"> and</w:t>
      </w:r>
      <w:r w:rsidRPr="00AC29E4">
        <w:rPr>
          <w:rFonts w:cs="Times New Roman"/>
          <w:kern w:val="0"/>
          <w:szCs w:val="24"/>
          <w:lang w:eastAsia="en-US"/>
        </w:rPr>
        <w:t xml:space="preserve"> control is often a moving target. For this reason, it is equally critical that these professionals be provided with the necessary resources to have and hold control over the EMS technologies with which they engage, which include resources such as training, mentoring, and support through professional associations. </w:t>
      </w:r>
      <w:r w:rsidRPr="00AC29E4">
        <w:rPr>
          <w:rFonts w:cs="Times New Roman"/>
          <w:szCs w:val="24"/>
        </w:rPr>
        <w:t xml:space="preserve">Because </w:t>
      </w:r>
      <w:r w:rsidRPr="00AC29E4">
        <w:rPr>
          <w:rFonts w:cs="Times New Roman"/>
          <w:kern w:val="0"/>
          <w:szCs w:val="24"/>
          <w:lang w:eastAsia="en-US"/>
        </w:rPr>
        <w:t>cybersecurity jobs are considered inherently stressful, leading to quick job turnover, an understanding of the job environment is crucial to mitigate stressful experiences and their associated negative outcomes.</w:t>
      </w:r>
      <w:r w:rsidRPr="00AC29E4" w:rsidDel="00F12EA8">
        <w:rPr>
          <w:rFonts w:cs="Times New Roman"/>
          <w:kern w:val="0"/>
          <w:szCs w:val="24"/>
          <w:lang w:eastAsia="en-US"/>
        </w:rPr>
        <w:t xml:space="preserve"> </w:t>
      </w:r>
    </w:p>
    <w:p w14:paraId="331441FF" w14:textId="77777777" w:rsidR="003E5B95" w:rsidRPr="004011E1" w:rsidRDefault="003E5B95" w:rsidP="003E5B95">
      <w:pPr>
        <w:pStyle w:val="Heading1"/>
        <w:rPr>
          <w:b/>
          <w:bCs/>
          <w:lang w:eastAsia="en-US"/>
        </w:rPr>
      </w:pPr>
      <w:bookmarkStart w:id="266" w:name="_Toc74045265"/>
      <w:bookmarkStart w:id="267" w:name="_Toc74087550"/>
      <w:bookmarkStart w:id="268" w:name="_Toc74258666"/>
      <w:r w:rsidRPr="004011E1">
        <w:rPr>
          <w:b/>
          <w:bCs/>
          <w:lang w:eastAsia="en-US"/>
        </w:rPr>
        <w:t>LIMITATIONS AND FUTURE RESEARCH</w:t>
      </w:r>
      <w:bookmarkEnd w:id="266"/>
      <w:bookmarkEnd w:id="267"/>
      <w:bookmarkEnd w:id="268"/>
    </w:p>
    <w:p w14:paraId="2B34A563" w14:textId="77777777"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As with all research, the current research has a share of limitations. First, the present study was conducted with U.S. cybersecurity professionals, so it is difficult to generalize our findings </w:t>
      </w:r>
      <w:r w:rsidRPr="00AC29E4">
        <w:rPr>
          <w:rFonts w:cs="Times New Roman"/>
          <w:kern w:val="0"/>
          <w:szCs w:val="24"/>
          <w:lang w:eastAsia="en-US"/>
        </w:rPr>
        <w:lastRenderedPageBreak/>
        <w:t xml:space="preserve">to other cybersecurity professionals working in different geographical regions. Considering that the stress appraisal process is context dependent, caution is warranted when interpreting the results of this research for application outside of the U.S.-based cybersecurity profession. Second, we explored only the big five personality characteristics as personal dispositions affecting the stress appraisal process, so the effect of other dispositions (e.g., mindfulness) on stress appraisals is not known and deserves future exploration. Also, we know our study is limited in terms of the gender and ethnic distribution of our sample. Our sample was a predominantly white male. This limitation is grounds for further research with a more diverse sample of cybersecurity professionals. </w:t>
      </w:r>
    </w:p>
    <w:p w14:paraId="1DB980F6" w14:textId="77777777" w:rsidR="003E5B95"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 xml:space="preserve">Although we took steps to engage our sample of cybersecurity professionals in a staged process, there are some limitations associated with the cross-sectional nature of the survey designs. Considering the volatility of the security environment, where cybersecurity professionals have limited time to take actions for an unexpected event such as a data breach, in practicality, the response time is low between a demand encounter and necessary action. Although our main goal was to validate the DAM using a large sample of cybersecurity professionals, we consider the cross-sectional nature of our survey to be a limitation that can be overcome with future longitudinal or experimental research designs. </w:t>
      </w:r>
    </w:p>
    <w:p w14:paraId="70952778" w14:textId="24ECBD6F" w:rsidR="003E5B95" w:rsidRPr="00AC29E4" w:rsidRDefault="003E5B95" w:rsidP="003E5B95">
      <w:pPr>
        <w:spacing w:before="240" w:after="160"/>
        <w:contextualSpacing w:val="0"/>
        <w:rPr>
          <w:rFonts w:cs="Times New Roman"/>
          <w:kern w:val="0"/>
          <w:szCs w:val="24"/>
          <w:lang w:eastAsia="en-US"/>
        </w:rPr>
      </w:pPr>
      <w:r w:rsidRPr="00AC29E4">
        <w:rPr>
          <w:rFonts w:cs="Times New Roman"/>
          <w:kern w:val="0"/>
          <w:szCs w:val="24"/>
          <w:lang w:eastAsia="en-US"/>
        </w:rPr>
        <w:t>Finally, our research leveraged one of the most used stress theories—</w:t>
      </w:r>
      <w:r>
        <w:rPr>
          <w:rFonts w:cs="Times New Roman"/>
          <w:kern w:val="0"/>
          <w:szCs w:val="24"/>
          <w:lang w:eastAsia="en-US"/>
        </w:rPr>
        <w:t xml:space="preserve">the </w:t>
      </w:r>
      <w:r w:rsidRPr="00AC29E4">
        <w:rPr>
          <w:rFonts w:cs="Times New Roman"/>
          <w:kern w:val="0"/>
          <w:szCs w:val="24"/>
          <w:lang w:eastAsia="en-US"/>
        </w:rPr>
        <w:t xml:space="preserve">transactional theory of stress—in which stress is seen as a transaction between an individual and his/her environment. Although not necessarily a limitation of its own, the singular theoretical basis for this research presents opportunities for future research using other theoretical lenses. Further, EFC responses can be both maladaptive and adaptive in nature </w:t>
      </w:r>
      <w:r w:rsidRPr="00AC29E4">
        <w:rPr>
          <w:rFonts w:cs="Times New Roman"/>
          <w:noProof/>
          <w:kern w:val="0"/>
          <w:szCs w:val="24"/>
          <w:lang w:eastAsia="en-US"/>
        </w:rPr>
        <w:t>(Liang et al., 2019)</w:t>
      </w:r>
      <w:r w:rsidRPr="00AC29E4">
        <w:rPr>
          <w:rFonts w:cs="Times New Roman"/>
          <w:kern w:val="0"/>
          <w:szCs w:val="24"/>
          <w:lang w:eastAsia="en-US"/>
        </w:rPr>
        <w:t xml:space="preserve">. However, in our sample, we </w:t>
      </w:r>
      <w:r w:rsidRPr="00AC29E4">
        <w:rPr>
          <w:rFonts w:cs="Times New Roman"/>
          <w:kern w:val="0"/>
          <w:szCs w:val="24"/>
          <w:lang w:eastAsia="en-US"/>
        </w:rPr>
        <w:lastRenderedPageBreak/>
        <w:t>did not find a significant association between challenge stress and EFC responses and believe</w:t>
      </w:r>
      <w:r w:rsidR="00414885">
        <w:rPr>
          <w:rFonts w:cs="Times New Roman"/>
          <w:kern w:val="0"/>
          <w:szCs w:val="24"/>
          <w:lang w:eastAsia="en-US"/>
        </w:rPr>
        <w:t>d</w:t>
      </w:r>
      <w:r w:rsidRPr="00AC29E4">
        <w:rPr>
          <w:rFonts w:cs="Times New Roman"/>
          <w:kern w:val="0"/>
          <w:szCs w:val="24"/>
          <w:lang w:eastAsia="en-US"/>
        </w:rPr>
        <w:t xml:space="preserve"> that future research can be designed to explore this association. </w:t>
      </w:r>
    </w:p>
    <w:p w14:paraId="25181916" w14:textId="77777777" w:rsidR="003E5B95" w:rsidRPr="004011E1" w:rsidRDefault="003E5B95" w:rsidP="003E5B95">
      <w:pPr>
        <w:pStyle w:val="Heading1"/>
        <w:rPr>
          <w:b/>
          <w:bCs/>
          <w:lang w:eastAsia="en-US"/>
        </w:rPr>
      </w:pPr>
      <w:bookmarkStart w:id="269" w:name="_Toc74045266"/>
      <w:bookmarkStart w:id="270" w:name="_Toc74087551"/>
      <w:bookmarkStart w:id="271" w:name="_Toc74258667"/>
      <w:r w:rsidRPr="004011E1">
        <w:rPr>
          <w:b/>
          <w:bCs/>
          <w:lang w:eastAsia="en-US"/>
        </w:rPr>
        <w:t>CONCLUSION</w:t>
      </w:r>
      <w:bookmarkEnd w:id="269"/>
      <w:bookmarkEnd w:id="270"/>
      <w:bookmarkEnd w:id="271"/>
    </w:p>
    <w:p w14:paraId="28872973" w14:textId="77777777" w:rsidR="003E5B95" w:rsidRDefault="003E5B95" w:rsidP="003E5B95">
      <w:pPr>
        <w:spacing w:after="160"/>
        <w:contextualSpacing w:val="0"/>
        <w:rPr>
          <w:rFonts w:cs="Times New Roman"/>
          <w:bCs/>
          <w:kern w:val="0"/>
          <w:szCs w:val="24"/>
          <w:lang w:eastAsia="en-US"/>
        </w:rPr>
      </w:pPr>
      <w:r w:rsidRPr="00AC29E4">
        <w:rPr>
          <w:rFonts w:cs="Times New Roman"/>
          <w:bCs/>
          <w:kern w:val="0"/>
          <w:szCs w:val="24"/>
          <w:lang w:eastAsia="en-US"/>
        </w:rPr>
        <w:t xml:space="preserve">The current study suggests that stress is a dual process and a context-specific phenomenon influenced by the environment in which EMS demands are presented and the individuals appraising them. Encounters with a demand result in both the experience of challenge stress and hindrance stress; however, given the uncertainties present in the cybersecurity context, a feeling of hindrance stress prevails over challenge stress. Through a mixed methods study, we created and tested a DAM that is a hybrid model of the process and variance components. In doing so, we support the idea that stress is a process. Through the current study, we were able to touch on the experiences of cybersecurity professionals who implement and/or maintain the EMS technologies of their organizations to secure them from both internal and external threats. We identified the cybersecurity context-specific demands that influence stress experiences </w:t>
      </w:r>
      <w:proofErr w:type="gramStart"/>
      <w:r w:rsidRPr="00AC29E4">
        <w:rPr>
          <w:rFonts w:cs="Times New Roman"/>
          <w:bCs/>
          <w:kern w:val="0"/>
          <w:szCs w:val="24"/>
          <w:lang w:eastAsia="en-US"/>
        </w:rPr>
        <w:t>and also</w:t>
      </w:r>
      <w:proofErr w:type="gramEnd"/>
      <w:r w:rsidRPr="00AC29E4">
        <w:rPr>
          <w:rFonts w:cs="Times New Roman"/>
          <w:bCs/>
          <w:kern w:val="0"/>
          <w:szCs w:val="24"/>
          <w:lang w:eastAsia="en-US"/>
        </w:rPr>
        <w:t xml:space="preserve"> highlighted the potential savoring responses used to relish feelings of excitement associated with the challenge stress and coping responses used to mitigate feelings of hindrance stress. Overall, we hope that the present research will further encourage a more holistic approach to understanding SRS, where a constantly changing threat landscape can be explored from the perspective of cybersecurity professionals as they are subjected to stress. </w:t>
      </w:r>
    </w:p>
    <w:p w14:paraId="644DED0D" w14:textId="77777777" w:rsidR="003E5B95" w:rsidRDefault="003E5B95" w:rsidP="003E5B95">
      <w:pPr>
        <w:spacing w:after="160" w:line="259" w:lineRule="auto"/>
        <w:ind w:firstLine="0"/>
        <w:contextualSpacing w:val="0"/>
        <w:rPr>
          <w:rFonts w:cs="Times New Roman"/>
          <w:bCs/>
          <w:kern w:val="0"/>
          <w:szCs w:val="24"/>
          <w:lang w:eastAsia="en-US"/>
        </w:rPr>
      </w:pPr>
      <w:r>
        <w:rPr>
          <w:rFonts w:cs="Times New Roman"/>
          <w:bCs/>
          <w:kern w:val="0"/>
          <w:szCs w:val="24"/>
          <w:lang w:eastAsia="en-US"/>
        </w:rPr>
        <w:br w:type="page"/>
      </w:r>
    </w:p>
    <w:p w14:paraId="1C8C087B" w14:textId="77777777" w:rsidR="003E5B95" w:rsidRPr="00CE19D0" w:rsidRDefault="003E5B95" w:rsidP="003E5B95">
      <w:pPr>
        <w:spacing w:after="160" w:line="259" w:lineRule="auto"/>
        <w:ind w:firstLine="0"/>
        <w:contextualSpacing w:val="0"/>
        <w:rPr>
          <w:rFonts w:cs="Times New Roman"/>
          <w:bCs/>
          <w:kern w:val="0"/>
          <w:szCs w:val="24"/>
          <w:lang w:eastAsia="en-US"/>
        </w:rPr>
      </w:pPr>
    </w:p>
    <w:p w14:paraId="432E1AB8" w14:textId="77777777" w:rsidR="003E5B95" w:rsidRPr="004011E1" w:rsidRDefault="003E5B95" w:rsidP="003E5B95">
      <w:pPr>
        <w:pStyle w:val="Heading1"/>
        <w:rPr>
          <w:b/>
          <w:bCs/>
          <w:lang w:eastAsia="en-US"/>
        </w:rPr>
      </w:pPr>
      <w:bookmarkStart w:id="272" w:name="_Toc74045267"/>
      <w:bookmarkStart w:id="273" w:name="_Toc74087552"/>
      <w:bookmarkStart w:id="274" w:name="_Toc74258668"/>
      <w:r w:rsidRPr="004011E1">
        <w:rPr>
          <w:b/>
          <w:bCs/>
          <w:lang w:eastAsia="en-US"/>
        </w:rPr>
        <w:t>REFERENCES</w:t>
      </w:r>
      <w:bookmarkEnd w:id="272"/>
      <w:bookmarkEnd w:id="273"/>
      <w:bookmarkEnd w:id="274"/>
    </w:p>
    <w:p w14:paraId="5AC3DBFC" w14:textId="77777777" w:rsidR="003E5B95" w:rsidRPr="00882BE9" w:rsidRDefault="003E5B95" w:rsidP="003E5B95">
      <w:pPr>
        <w:pStyle w:val="EndNoteBibliography"/>
        <w:spacing w:after="240"/>
        <w:ind w:left="720" w:hanging="720"/>
      </w:pPr>
      <w:r w:rsidRPr="00882BE9">
        <w:t xml:space="preserve">Ahuja, M. K., Chudoba, K. M., Kacmar, C. J., McKnight, D. H., &amp; George, J. F. (2007). IT road warriors: Balancing work-family conflict, job autonomy, and work overload to mitigate turnover intentions. </w:t>
      </w:r>
      <w:r w:rsidRPr="00882BE9">
        <w:rPr>
          <w:i/>
        </w:rPr>
        <w:t>MIS Quarterly</w:t>
      </w:r>
      <w:r w:rsidRPr="00882BE9">
        <w:t>,</w:t>
      </w:r>
      <w:r w:rsidRPr="00882BE9">
        <w:rPr>
          <w:i/>
        </w:rPr>
        <w:t xml:space="preserve"> 31</w:t>
      </w:r>
      <w:r w:rsidRPr="00882BE9">
        <w:t xml:space="preserve">(1), 1-17. </w:t>
      </w:r>
    </w:p>
    <w:p w14:paraId="26DB35E7" w14:textId="5A506742" w:rsidR="003E5B95" w:rsidRPr="00882BE9" w:rsidRDefault="003E5B95" w:rsidP="003E5B95">
      <w:pPr>
        <w:pStyle w:val="EndNoteBibliography"/>
        <w:spacing w:after="240"/>
        <w:ind w:left="720" w:hanging="720"/>
      </w:pPr>
      <w:r w:rsidRPr="00882BE9">
        <w:t xml:space="preserve">Aiken, L. S., &amp; West, S. G. (1991). </w:t>
      </w:r>
      <w:r w:rsidRPr="00882BE9">
        <w:rPr>
          <w:i/>
        </w:rPr>
        <w:t>Multiple regression: Testing and interpreting interactions</w:t>
      </w:r>
      <w:r w:rsidRPr="00882BE9">
        <w:t xml:space="preserve">. </w:t>
      </w:r>
      <w:r w:rsidR="0039470F">
        <w:t xml:space="preserve">Thousan Oaks, CA: </w:t>
      </w:r>
      <w:r w:rsidRPr="00882BE9">
        <w:t xml:space="preserve">Sage Publications. </w:t>
      </w:r>
    </w:p>
    <w:p w14:paraId="42AFB336" w14:textId="77777777" w:rsidR="003E5B95" w:rsidRPr="00882BE9" w:rsidRDefault="003E5B95" w:rsidP="003E5B95">
      <w:pPr>
        <w:pStyle w:val="EndNoteBibliography"/>
        <w:spacing w:after="240"/>
        <w:ind w:left="720" w:hanging="720"/>
      </w:pPr>
      <w:r w:rsidRPr="00882BE9">
        <w:t xml:space="preserve">Alge, B. J. (2001). Effects of computer surveillance on perceptions of privacy and procedural justice. </w:t>
      </w:r>
      <w:r w:rsidRPr="00882BE9">
        <w:rPr>
          <w:i/>
        </w:rPr>
        <w:t>Journal of Applied Psychology</w:t>
      </w:r>
      <w:r w:rsidRPr="00882BE9">
        <w:t>,</w:t>
      </w:r>
      <w:r w:rsidRPr="00882BE9">
        <w:rPr>
          <w:i/>
        </w:rPr>
        <w:t xml:space="preserve"> 86</w:t>
      </w:r>
      <w:r w:rsidRPr="00882BE9">
        <w:t xml:space="preserve">(4), 797. </w:t>
      </w:r>
    </w:p>
    <w:p w14:paraId="697B05B7" w14:textId="77777777" w:rsidR="003E5B95" w:rsidRPr="00882BE9" w:rsidRDefault="003E5B95" w:rsidP="003E5B95">
      <w:pPr>
        <w:pStyle w:val="EndNoteBibliography"/>
        <w:spacing w:after="240"/>
        <w:ind w:left="720" w:hanging="720"/>
      </w:pPr>
      <w:r w:rsidRPr="00882BE9">
        <w:t xml:space="preserve">Ayyagari, R., Grover, V., &amp; Purvis, R. (2011). Technostress: technological antecedents and implications. </w:t>
      </w:r>
      <w:r w:rsidRPr="00882BE9">
        <w:rPr>
          <w:i/>
        </w:rPr>
        <w:t>MIS Quarterly</w:t>
      </w:r>
      <w:r w:rsidRPr="00882BE9">
        <w:t>,</w:t>
      </w:r>
      <w:r w:rsidRPr="00882BE9">
        <w:rPr>
          <w:i/>
        </w:rPr>
        <w:t xml:space="preserve"> 35</w:t>
      </w:r>
      <w:r w:rsidRPr="00882BE9">
        <w:t xml:space="preserve">(4), 831-858. </w:t>
      </w:r>
    </w:p>
    <w:p w14:paraId="2F973B49" w14:textId="77777777" w:rsidR="003E5B95" w:rsidRPr="00882BE9" w:rsidRDefault="003E5B95" w:rsidP="003E5B95">
      <w:pPr>
        <w:pStyle w:val="EndNoteBibliography"/>
        <w:spacing w:after="240"/>
        <w:ind w:left="720" w:hanging="720"/>
      </w:pPr>
      <w:r w:rsidRPr="00882BE9">
        <w:t xml:space="preserve">Bagozzi, R. P., &amp; Yi, Y. (1988). On the evaluation of structural equation models. </w:t>
      </w:r>
      <w:r w:rsidRPr="00882BE9">
        <w:rPr>
          <w:i/>
        </w:rPr>
        <w:t>Journal of the Academy of Marketing Science</w:t>
      </w:r>
      <w:r w:rsidRPr="00882BE9">
        <w:t>,</w:t>
      </w:r>
      <w:r w:rsidRPr="00882BE9">
        <w:rPr>
          <w:i/>
        </w:rPr>
        <w:t xml:space="preserve"> 16</w:t>
      </w:r>
      <w:r w:rsidRPr="00882BE9">
        <w:t xml:space="preserve">(1), 74-94. </w:t>
      </w:r>
      <w:r w:rsidRPr="00EC5759">
        <w:t>https://doi.org/10.1007/BF02723327</w:t>
      </w:r>
      <w:r w:rsidRPr="00882BE9">
        <w:t xml:space="preserve"> </w:t>
      </w:r>
    </w:p>
    <w:p w14:paraId="57CA3862" w14:textId="0F1E98DA" w:rsidR="003E5B95" w:rsidRPr="00882BE9" w:rsidRDefault="003E5B95" w:rsidP="003E5B95">
      <w:pPr>
        <w:pStyle w:val="EndNoteBibliography"/>
        <w:spacing w:after="240"/>
        <w:ind w:left="720" w:hanging="720"/>
      </w:pPr>
      <w:r w:rsidRPr="00882BE9">
        <w:t xml:space="preserve">Beaudry, A., &amp; Pinsonneault, A. (2005). Understanding User Responses to Information Technology: A Coping Model of User Adaptation. </w:t>
      </w:r>
      <w:r w:rsidRPr="00882BE9">
        <w:rPr>
          <w:i/>
        </w:rPr>
        <w:t>MIS Quarterly</w:t>
      </w:r>
      <w:r w:rsidRPr="00882BE9">
        <w:t>,</w:t>
      </w:r>
      <w:r w:rsidRPr="00882BE9">
        <w:rPr>
          <w:i/>
        </w:rPr>
        <w:t xml:space="preserve"> 29</w:t>
      </w:r>
      <w:r w:rsidRPr="00882BE9">
        <w:t xml:space="preserve">(3), 493-524. </w:t>
      </w:r>
      <w:r w:rsidRPr="00EC5759">
        <w:t>https://doi.org/10.2307/25148693</w:t>
      </w:r>
      <w:r w:rsidRPr="00882BE9">
        <w:t xml:space="preserve"> </w:t>
      </w:r>
    </w:p>
    <w:p w14:paraId="03E1F1C7" w14:textId="77777777" w:rsidR="003E5B95" w:rsidRPr="00882BE9" w:rsidRDefault="003E5B95" w:rsidP="003E5B95">
      <w:pPr>
        <w:pStyle w:val="EndNoteBibliography"/>
        <w:spacing w:after="240"/>
        <w:ind w:left="720" w:hanging="720"/>
      </w:pPr>
      <w:r w:rsidRPr="00882BE9">
        <w:t xml:space="preserve">Bhave, D. P. (2014). The invisible eye? Electronic performance monitoring and employee job performance. </w:t>
      </w:r>
      <w:r w:rsidRPr="00882BE9">
        <w:rPr>
          <w:i/>
        </w:rPr>
        <w:t>Personnel psychology</w:t>
      </w:r>
      <w:r w:rsidRPr="00882BE9">
        <w:t>,</w:t>
      </w:r>
      <w:r w:rsidRPr="00882BE9">
        <w:rPr>
          <w:i/>
        </w:rPr>
        <w:t xml:space="preserve"> 67</w:t>
      </w:r>
      <w:r w:rsidRPr="00882BE9">
        <w:t xml:space="preserve">(3), 605-635. </w:t>
      </w:r>
    </w:p>
    <w:p w14:paraId="0E052188" w14:textId="77777777" w:rsidR="003E5B95" w:rsidRPr="00882BE9" w:rsidRDefault="003E5B95" w:rsidP="003E5B95">
      <w:pPr>
        <w:pStyle w:val="EndNoteBibliography"/>
        <w:spacing w:after="240"/>
        <w:ind w:left="720" w:hanging="720"/>
      </w:pPr>
      <w:r w:rsidRPr="00882BE9">
        <w:t xml:space="preserve">Brody, B. A. (2019). </w:t>
      </w:r>
      <w:r w:rsidRPr="00882BE9">
        <w:rPr>
          <w:i/>
        </w:rPr>
        <w:t>Cybersecurity akin to being in a war zone—you have to be “left of boom” to survive</w:t>
      </w:r>
      <w:r w:rsidRPr="00882BE9">
        <w:t xml:space="preserve">. Retrieved 25 Oct, 2019 from </w:t>
      </w:r>
      <w:r w:rsidRPr="00EC5759">
        <w:t>http://www.isaca.org/Knowledge-Center/Blog/Lists/Posts/Post.aspx?ID=520&amp;utm_referrer=direct%2Fnot%20provided</w:t>
      </w:r>
    </w:p>
    <w:p w14:paraId="75E427C2" w14:textId="77777777" w:rsidR="003E5B95" w:rsidRPr="00882BE9" w:rsidRDefault="003E5B95" w:rsidP="003E5B95">
      <w:pPr>
        <w:pStyle w:val="EndNoteBibliography"/>
        <w:spacing w:after="240"/>
        <w:ind w:left="720" w:hanging="720"/>
      </w:pPr>
      <w:r w:rsidRPr="00882BE9">
        <w:t xml:space="preserve">Bryant, F. B., &amp; Veroff, J. (2007). </w:t>
      </w:r>
      <w:r w:rsidRPr="00882BE9">
        <w:rPr>
          <w:i/>
        </w:rPr>
        <w:t>Savoring: A new model of positive experience</w:t>
      </w:r>
      <w:r w:rsidRPr="00882BE9">
        <w:t xml:space="preserve">. Lawrence Erlbaum Associates, Inc. </w:t>
      </w:r>
    </w:p>
    <w:p w14:paraId="4CD63703" w14:textId="77777777" w:rsidR="003E5B95" w:rsidRPr="00882BE9" w:rsidRDefault="003E5B95" w:rsidP="003E5B95">
      <w:pPr>
        <w:pStyle w:val="EndNoteBibliography"/>
        <w:spacing w:after="240"/>
        <w:ind w:left="720" w:hanging="720"/>
      </w:pPr>
      <w:r w:rsidRPr="00882BE9">
        <w:t xml:space="preserve">Byrne, B. M. (2016). </w:t>
      </w:r>
      <w:r w:rsidRPr="00882BE9">
        <w:rPr>
          <w:i/>
        </w:rPr>
        <w:t>Structural equation modeling with AMOS: Basic concepts, applications, and programming</w:t>
      </w:r>
      <w:r w:rsidRPr="00882BE9">
        <w:t xml:space="preserve"> (3 ed.). Roudledge. </w:t>
      </w:r>
    </w:p>
    <w:p w14:paraId="5109398B" w14:textId="77777777" w:rsidR="003E5B95" w:rsidRPr="00882BE9" w:rsidRDefault="003E5B95" w:rsidP="003E5B95">
      <w:pPr>
        <w:pStyle w:val="EndNoteBibliography"/>
        <w:spacing w:after="240"/>
        <w:ind w:left="720" w:hanging="720"/>
      </w:pPr>
      <w:r w:rsidRPr="00882BE9">
        <w:t xml:space="preserve">Califf, C. B., Sarker, S., &amp; Sarker, S. (2020). The Bright and Dark Sides of Technostress: A Mixed-Methods Study Involving Healthcare IT. </w:t>
      </w:r>
      <w:r w:rsidRPr="00882BE9">
        <w:rPr>
          <w:i/>
        </w:rPr>
        <w:t>MIS Quarterly</w:t>
      </w:r>
      <w:r w:rsidRPr="00882BE9">
        <w:t>,</w:t>
      </w:r>
      <w:r w:rsidRPr="00882BE9">
        <w:rPr>
          <w:i/>
        </w:rPr>
        <w:t xml:space="preserve"> 44</w:t>
      </w:r>
      <w:r w:rsidRPr="00882BE9">
        <w:t xml:space="preserve">(2), 809-856. </w:t>
      </w:r>
    </w:p>
    <w:p w14:paraId="69F15FF6" w14:textId="77777777" w:rsidR="003E5B95" w:rsidRPr="00882BE9" w:rsidRDefault="003E5B95" w:rsidP="003E5B95">
      <w:pPr>
        <w:pStyle w:val="EndNoteBibliography"/>
        <w:spacing w:after="240"/>
        <w:ind w:left="720" w:hanging="720"/>
      </w:pPr>
      <w:r w:rsidRPr="00882BE9">
        <w:t xml:space="preserve">Cavanaugh, M. A., Boswell, W. R., Roehling, M. V., &amp; Boudreau, J. W. (2000). An empirical examination of self-reported work stress among US managers. </w:t>
      </w:r>
      <w:r w:rsidRPr="00882BE9">
        <w:rPr>
          <w:i/>
        </w:rPr>
        <w:t>Journal of Applied Psychology</w:t>
      </w:r>
      <w:r w:rsidRPr="00882BE9">
        <w:t>,</w:t>
      </w:r>
      <w:r w:rsidRPr="00882BE9">
        <w:rPr>
          <w:i/>
        </w:rPr>
        <w:t xml:space="preserve"> 85</w:t>
      </w:r>
      <w:r w:rsidRPr="00882BE9">
        <w:t xml:space="preserve">(1), 65-74. </w:t>
      </w:r>
    </w:p>
    <w:p w14:paraId="6BFB51BB" w14:textId="77777777" w:rsidR="003E5B95" w:rsidRPr="00882BE9" w:rsidRDefault="003E5B95" w:rsidP="003E5B95">
      <w:pPr>
        <w:pStyle w:val="EndNoteBibliography"/>
        <w:spacing w:after="240"/>
        <w:ind w:left="720" w:hanging="720"/>
      </w:pPr>
      <w:r w:rsidRPr="00882BE9">
        <w:t xml:space="preserve">Cavusoglu, H., Mishra, B., &amp; Raghunathan, S. (2005). The value of intrusion detection systems in information technology security architecture. </w:t>
      </w:r>
      <w:r w:rsidRPr="00882BE9">
        <w:rPr>
          <w:i/>
        </w:rPr>
        <w:t>Information Systems Research</w:t>
      </w:r>
      <w:r w:rsidRPr="00882BE9">
        <w:t>,</w:t>
      </w:r>
      <w:r w:rsidRPr="00882BE9">
        <w:rPr>
          <w:i/>
        </w:rPr>
        <w:t xml:space="preserve"> 16</w:t>
      </w:r>
      <w:r w:rsidRPr="00882BE9">
        <w:t xml:space="preserve">(1), 28-46. </w:t>
      </w:r>
    </w:p>
    <w:p w14:paraId="237B6C52" w14:textId="77777777" w:rsidR="003E5B95" w:rsidRPr="00882BE9" w:rsidRDefault="003E5B95" w:rsidP="003E5B95">
      <w:pPr>
        <w:pStyle w:val="EndNoteBibliography"/>
        <w:spacing w:after="240"/>
        <w:ind w:left="720" w:hanging="720"/>
      </w:pPr>
      <w:r w:rsidRPr="00882BE9">
        <w:lastRenderedPageBreak/>
        <w:t xml:space="preserve">Chen, Y., Ramamurthy, K., &amp; Wen, K.-W. (2015). Impacts of Comprehensive Information Security Programs on Information Security Culture. </w:t>
      </w:r>
      <w:r w:rsidRPr="00882BE9">
        <w:rPr>
          <w:i/>
        </w:rPr>
        <w:t>Journal of Computer Information Systems</w:t>
      </w:r>
      <w:r w:rsidRPr="00882BE9">
        <w:t>,</w:t>
      </w:r>
      <w:r w:rsidRPr="00882BE9">
        <w:rPr>
          <w:i/>
        </w:rPr>
        <w:t xml:space="preserve"> 55</w:t>
      </w:r>
      <w:r w:rsidRPr="00882BE9">
        <w:t xml:space="preserve">(3), 11-19. </w:t>
      </w:r>
      <w:r w:rsidRPr="00EC5759">
        <w:t>https://doi.org/10.1080/08874417.2015.11645767</w:t>
      </w:r>
      <w:r w:rsidRPr="00882BE9">
        <w:t xml:space="preserve"> </w:t>
      </w:r>
    </w:p>
    <w:p w14:paraId="50F74328" w14:textId="77777777" w:rsidR="003E5B95" w:rsidRPr="00882BE9" w:rsidRDefault="003E5B95" w:rsidP="003E5B95">
      <w:pPr>
        <w:pStyle w:val="EndNoteBibliography"/>
        <w:spacing w:after="240"/>
        <w:ind w:left="720" w:hanging="720"/>
      </w:pPr>
      <w:r w:rsidRPr="00882BE9">
        <w:t xml:space="preserve">Cheung, G. W., &amp; Rensvold, R. B. (2002). Evaluating Goodness-of-Fit Indexes for Testing Measurement Invariance. </w:t>
      </w:r>
      <w:r w:rsidRPr="00882BE9">
        <w:rPr>
          <w:i/>
        </w:rPr>
        <w:t>Structural Equation Modeling: A Multidisciplinary Journal</w:t>
      </w:r>
      <w:r w:rsidRPr="00882BE9">
        <w:t>,</w:t>
      </w:r>
      <w:r w:rsidRPr="00882BE9">
        <w:rPr>
          <w:i/>
        </w:rPr>
        <w:t xml:space="preserve"> 9</w:t>
      </w:r>
      <w:r w:rsidRPr="00882BE9">
        <w:t xml:space="preserve">(2), 233-255. </w:t>
      </w:r>
      <w:r w:rsidRPr="00EC5759">
        <w:t>https://doi.org/10.1207/S15328007SEM0902_5</w:t>
      </w:r>
      <w:r w:rsidRPr="00882BE9">
        <w:t xml:space="preserve"> </w:t>
      </w:r>
    </w:p>
    <w:p w14:paraId="38D8264E" w14:textId="77777777" w:rsidR="003E5B95" w:rsidRPr="00882BE9" w:rsidRDefault="003E5B95" w:rsidP="003E5B95">
      <w:pPr>
        <w:pStyle w:val="EndNoteBibliography"/>
        <w:spacing w:after="240"/>
        <w:ind w:left="720" w:hanging="720"/>
      </w:pPr>
      <w:r w:rsidRPr="00882BE9">
        <w:t xml:space="preserve">Chory, R. M., Vela, L. E., &amp; Avtgis, T. A. (2016). Organizational surveillance of computer-mediated workplace communication: employee privacy concerns and responses. </w:t>
      </w:r>
      <w:r w:rsidRPr="00882BE9">
        <w:rPr>
          <w:i/>
        </w:rPr>
        <w:t>Employee Responsibilities Rights Journal</w:t>
      </w:r>
      <w:r w:rsidRPr="00882BE9">
        <w:t>,</w:t>
      </w:r>
      <w:r w:rsidRPr="00882BE9">
        <w:rPr>
          <w:i/>
        </w:rPr>
        <w:t xml:space="preserve"> 28</w:t>
      </w:r>
      <w:r w:rsidRPr="00882BE9">
        <w:t xml:space="preserve">(1), 23-43. </w:t>
      </w:r>
    </w:p>
    <w:p w14:paraId="574250D5" w14:textId="77777777" w:rsidR="003E5B95" w:rsidRPr="00882BE9" w:rsidRDefault="003E5B95" w:rsidP="003E5B95">
      <w:pPr>
        <w:pStyle w:val="EndNoteBibliography"/>
        <w:spacing w:after="240"/>
        <w:ind w:left="720" w:hanging="720"/>
      </w:pPr>
      <w:r w:rsidRPr="00882BE9">
        <w:t xml:space="preserve">Cohen, L., Manion, L., &amp; Morrison, K. (2013). </w:t>
      </w:r>
      <w:r w:rsidRPr="00882BE9">
        <w:rPr>
          <w:i/>
        </w:rPr>
        <w:t>Research methods in education</w:t>
      </w:r>
      <w:r w:rsidRPr="00882BE9">
        <w:t xml:space="preserve"> (7 ed.). Routledge. </w:t>
      </w:r>
    </w:p>
    <w:p w14:paraId="2623D4B2" w14:textId="3EFB5D1B" w:rsidR="003E5B95" w:rsidRPr="00882BE9" w:rsidRDefault="003E5B95" w:rsidP="003E5B95">
      <w:pPr>
        <w:pStyle w:val="EndNoteBibliography"/>
        <w:spacing w:after="240"/>
        <w:ind w:left="720" w:hanging="720"/>
      </w:pPr>
      <w:r w:rsidRPr="00882BE9">
        <w:t xml:space="preserve">Cooper, C. L., Cooper, C. P., Dewe, P. J., O'Driscoll, M. P., O'Driscoll, M. P., &amp; Dewe, P. J. (2001). </w:t>
      </w:r>
      <w:r w:rsidRPr="00882BE9">
        <w:rPr>
          <w:i/>
        </w:rPr>
        <w:t>Organizational stress: A review and critique of theory, research, and applications</w:t>
      </w:r>
      <w:r w:rsidRPr="00882BE9">
        <w:t xml:space="preserve">. </w:t>
      </w:r>
      <w:r w:rsidR="0039470F">
        <w:t xml:space="preserve">Thousand Oaks, CA: </w:t>
      </w:r>
      <w:r w:rsidRPr="00882BE9">
        <w:t xml:space="preserve">Sage. </w:t>
      </w:r>
    </w:p>
    <w:p w14:paraId="47A377EC" w14:textId="49319E13" w:rsidR="003E5B95" w:rsidRPr="00882BE9" w:rsidRDefault="003E5B95" w:rsidP="003E5B95">
      <w:pPr>
        <w:pStyle w:val="EndNoteBibliography"/>
        <w:spacing w:after="240"/>
        <w:ind w:left="720" w:hanging="720"/>
      </w:pPr>
      <w:r w:rsidRPr="00882BE9">
        <w:t xml:space="preserve">Creswell, J. W., &amp; Clark, V. L. P. (2011). </w:t>
      </w:r>
      <w:r w:rsidRPr="00882BE9">
        <w:rPr>
          <w:i/>
        </w:rPr>
        <w:t>Designing and conducting mixed methods research</w:t>
      </w:r>
      <w:r w:rsidRPr="00882BE9">
        <w:t xml:space="preserve">. </w:t>
      </w:r>
      <w:r w:rsidR="0039470F">
        <w:t xml:space="preserve">Thousand Oaks, CA: </w:t>
      </w:r>
      <w:r w:rsidRPr="00882BE9">
        <w:t xml:space="preserve">Sage publications. </w:t>
      </w:r>
    </w:p>
    <w:p w14:paraId="653C689B" w14:textId="0F8A2854" w:rsidR="003E5B95" w:rsidRPr="00882BE9" w:rsidRDefault="003E5B95" w:rsidP="003E5B95">
      <w:pPr>
        <w:pStyle w:val="EndNoteBibliography"/>
        <w:spacing w:after="240"/>
        <w:ind w:left="720" w:hanging="720"/>
      </w:pPr>
      <w:r w:rsidRPr="00882BE9">
        <w:t xml:space="preserve">Creswell, J. W., &amp; Poth, C. N. (2016). </w:t>
      </w:r>
      <w:r w:rsidRPr="00882BE9">
        <w:rPr>
          <w:i/>
        </w:rPr>
        <w:t>Qualitative inquiry and research design: Choosing among five approaches</w:t>
      </w:r>
      <w:r w:rsidRPr="00882BE9">
        <w:t xml:space="preserve">. </w:t>
      </w:r>
      <w:r w:rsidR="0039470F">
        <w:t xml:space="preserve">Thousand Oaks, CA: </w:t>
      </w:r>
      <w:r w:rsidRPr="00882BE9">
        <w:t xml:space="preserve">Sage publications. </w:t>
      </w:r>
    </w:p>
    <w:p w14:paraId="5985F446" w14:textId="77777777" w:rsidR="003E5B95" w:rsidRPr="00882BE9" w:rsidRDefault="003E5B95" w:rsidP="003E5B95">
      <w:pPr>
        <w:pStyle w:val="EndNoteBibliography"/>
        <w:spacing w:after="240"/>
        <w:ind w:left="720" w:hanging="720"/>
      </w:pPr>
      <w:r w:rsidRPr="00882BE9">
        <w:t xml:space="preserve">Cumming, G. (2009). Inference by eye: Reading the overlap of independent confidence intervals. </w:t>
      </w:r>
      <w:r w:rsidRPr="00882BE9">
        <w:rPr>
          <w:i/>
        </w:rPr>
        <w:t>Statistics in medicine</w:t>
      </w:r>
      <w:r w:rsidRPr="00882BE9">
        <w:t>,</w:t>
      </w:r>
      <w:r w:rsidRPr="00882BE9">
        <w:rPr>
          <w:i/>
        </w:rPr>
        <w:t xml:space="preserve"> 28</w:t>
      </w:r>
      <w:r w:rsidRPr="00882BE9">
        <w:t xml:space="preserve">(2), 205-220. </w:t>
      </w:r>
      <w:r w:rsidRPr="00EC5759">
        <w:t>https://doi.org/https://doi.org/10.1002/sim.3471</w:t>
      </w:r>
      <w:r w:rsidRPr="00882BE9">
        <w:t xml:space="preserve"> </w:t>
      </w:r>
    </w:p>
    <w:p w14:paraId="02F905D6" w14:textId="77777777" w:rsidR="003E5B95" w:rsidRPr="00882BE9" w:rsidRDefault="003E5B95" w:rsidP="003E5B95">
      <w:pPr>
        <w:pStyle w:val="EndNoteBibliography"/>
        <w:spacing w:after="240"/>
        <w:ind w:left="720" w:hanging="720"/>
      </w:pPr>
      <w:r w:rsidRPr="00882BE9">
        <w:t xml:space="preserve">D'Arcy, J., Herath, T., &amp; Shoss, M. K. (2014). Understanding employee responses to stressful information security requirements: A coping perspective. </w:t>
      </w:r>
      <w:r w:rsidRPr="00882BE9">
        <w:rPr>
          <w:i/>
        </w:rPr>
        <w:t>Journal of Management Information Systems</w:t>
      </w:r>
      <w:r w:rsidRPr="00882BE9">
        <w:t>,</w:t>
      </w:r>
      <w:r w:rsidRPr="00882BE9">
        <w:rPr>
          <w:i/>
        </w:rPr>
        <w:t xml:space="preserve"> 31</w:t>
      </w:r>
      <w:r w:rsidRPr="00882BE9">
        <w:t xml:space="preserve">(2), 285-318. </w:t>
      </w:r>
    </w:p>
    <w:p w14:paraId="2661A581" w14:textId="77777777" w:rsidR="003E5B95" w:rsidRPr="00882BE9" w:rsidRDefault="003E5B95" w:rsidP="003E5B95">
      <w:pPr>
        <w:pStyle w:val="EndNoteBibliography"/>
        <w:spacing w:after="240"/>
        <w:ind w:left="720" w:hanging="720"/>
      </w:pPr>
      <w:r w:rsidRPr="00882BE9">
        <w:t xml:space="preserve">D'Arcy, J., Herath, T., Yim, M.-S., Nam, K., &amp; Rao, H. R. (2018). Employee moral disengagement in response to stressful information security requirements: a methodological replication of a coping-based model. </w:t>
      </w:r>
      <w:r w:rsidRPr="00882BE9">
        <w:rPr>
          <w:i/>
        </w:rPr>
        <w:t>AIS Transactions on Replication Research</w:t>
      </w:r>
      <w:r w:rsidRPr="00882BE9">
        <w:t>,</w:t>
      </w:r>
      <w:r w:rsidRPr="00882BE9">
        <w:rPr>
          <w:i/>
        </w:rPr>
        <w:t xml:space="preserve"> 4</w:t>
      </w:r>
      <w:r w:rsidRPr="00882BE9">
        <w:t xml:space="preserve">(1), 1-18. </w:t>
      </w:r>
    </w:p>
    <w:p w14:paraId="0B1719A4" w14:textId="77777777" w:rsidR="003E5B95" w:rsidRPr="00882BE9" w:rsidRDefault="003E5B95" w:rsidP="003E5B95">
      <w:pPr>
        <w:pStyle w:val="EndNoteBibliography"/>
        <w:spacing w:after="240"/>
        <w:ind w:left="720" w:hanging="720"/>
      </w:pPr>
      <w:r w:rsidRPr="00882BE9">
        <w:t xml:space="preserve">D’Arcy, J., &amp; Teh, P.-L. (2019). Predicting employee information security policy compliance on a daily basis: the interplay of security-related stress, emotions, and neutralization. </w:t>
      </w:r>
      <w:r w:rsidRPr="00882BE9">
        <w:rPr>
          <w:i/>
        </w:rPr>
        <w:t>Information &amp; Management</w:t>
      </w:r>
      <w:r w:rsidRPr="00882BE9">
        <w:t>,</w:t>
      </w:r>
      <w:r w:rsidRPr="00882BE9">
        <w:rPr>
          <w:i/>
        </w:rPr>
        <w:t xml:space="preserve"> 56</w:t>
      </w:r>
      <w:r w:rsidRPr="00882BE9">
        <w:t xml:space="preserve">(7), 103151. </w:t>
      </w:r>
    </w:p>
    <w:p w14:paraId="103F4F8B" w14:textId="77777777" w:rsidR="003E5B95" w:rsidRPr="00882BE9" w:rsidRDefault="003E5B95" w:rsidP="003E5B95">
      <w:pPr>
        <w:pStyle w:val="EndNoteBibliography"/>
        <w:spacing w:after="240"/>
        <w:ind w:left="720" w:hanging="720"/>
      </w:pPr>
      <w:r w:rsidRPr="00882BE9">
        <w:t xml:space="preserve">D’Urso, S. C. (2006). Who’s watching us at work? Toward a structural–perceptual model of electronic monitoring and surveillance in organizations. </w:t>
      </w:r>
      <w:r w:rsidRPr="00882BE9">
        <w:rPr>
          <w:i/>
        </w:rPr>
        <w:t>Communication Theory</w:t>
      </w:r>
      <w:r w:rsidRPr="00882BE9">
        <w:t>,</w:t>
      </w:r>
      <w:r w:rsidRPr="00882BE9">
        <w:rPr>
          <w:i/>
        </w:rPr>
        <w:t xml:space="preserve"> 16</w:t>
      </w:r>
      <w:r w:rsidRPr="00882BE9">
        <w:t xml:space="preserve">(3), 281-303. </w:t>
      </w:r>
    </w:p>
    <w:p w14:paraId="67DB4C5A" w14:textId="77777777" w:rsidR="003E5B95" w:rsidRPr="00882BE9" w:rsidRDefault="003E5B95" w:rsidP="003E5B95">
      <w:pPr>
        <w:pStyle w:val="EndNoteBibliography"/>
        <w:spacing w:after="240"/>
        <w:ind w:left="720" w:hanging="720"/>
      </w:pPr>
      <w:r w:rsidRPr="00882BE9">
        <w:t xml:space="preserve">de Vries, R. E., &amp; van Gelder, J.-L. (2015). Explaining workplace delinquency: The role of Honesty–Humility, ethical culture, and employee surveillance. </w:t>
      </w:r>
      <w:r w:rsidRPr="00882BE9">
        <w:rPr>
          <w:i/>
        </w:rPr>
        <w:t>Personality Individual Differences</w:t>
      </w:r>
      <w:r w:rsidRPr="00882BE9">
        <w:t>,</w:t>
      </w:r>
      <w:r w:rsidRPr="00882BE9">
        <w:rPr>
          <w:i/>
        </w:rPr>
        <w:t xml:space="preserve"> 86</w:t>
      </w:r>
      <w:r w:rsidRPr="00882BE9">
        <w:t xml:space="preserve">, 112-116. </w:t>
      </w:r>
    </w:p>
    <w:p w14:paraId="630D1620" w14:textId="77777777" w:rsidR="003E5B95" w:rsidRPr="00882BE9" w:rsidRDefault="003E5B95" w:rsidP="003E5B95">
      <w:pPr>
        <w:pStyle w:val="EndNoteBibliography"/>
        <w:spacing w:after="240"/>
        <w:ind w:left="720" w:hanging="720"/>
      </w:pPr>
      <w:r w:rsidRPr="00882BE9">
        <w:lastRenderedPageBreak/>
        <w:t xml:space="preserve">Demerouti, E., &amp; Bakker, A. B. (2011). The job demands-resources model: Challenges for future research. </w:t>
      </w:r>
      <w:r w:rsidRPr="00882BE9">
        <w:rPr>
          <w:i/>
        </w:rPr>
        <w:t>SA Jounral of Industrial Psychology</w:t>
      </w:r>
      <w:r w:rsidRPr="00882BE9">
        <w:t>,</w:t>
      </w:r>
      <w:r w:rsidRPr="00882BE9">
        <w:rPr>
          <w:i/>
        </w:rPr>
        <w:t xml:space="preserve"> 37</w:t>
      </w:r>
      <w:r w:rsidRPr="00882BE9">
        <w:t xml:space="preserve">(2), 1-9. </w:t>
      </w:r>
    </w:p>
    <w:p w14:paraId="0816A604" w14:textId="77777777" w:rsidR="003E5B95" w:rsidRPr="00882BE9" w:rsidRDefault="003E5B95" w:rsidP="003E5B95">
      <w:pPr>
        <w:pStyle w:val="EndNoteBibliography"/>
        <w:spacing w:after="240"/>
        <w:ind w:left="720" w:hanging="720"/>
      </w:pPr>
      <w:r w:rsidRPr="00882BE9">
        <w:t xml:space="preserve">Eddy, E. R., Stone, D. L., &amp; Stone‐Romero, E. E. (1999). The effects of information management policies on reactions to human resource information systems: An integration of privacy and procedural justice perspectives. </w:t>
      </w:r>
      <w:r w:rsidRPr="00882BE9">
        <w:rPr>
          <w:i/>
        </w:rPr>
        <w:t>Personnel psychology</w:t>
      </w:r>
      <w:r w:rsidRPr="00882BE9">
        <w:t>,</w:t>
      </w:r>
      <w:r w:rsidRPr="00882BE9">
        <w:rPr>
          <w:i/>
        </w:rPr>
        <w:t xml:space="preserve"> 52</w:t>
      </w:r>
      <w:r w:rsidRPr="00882BE9">
        <w:t xml:space="preserve">(2), 335-358. </w:t>
      </w:r>
    </w:p>
    <w:p w14:paraId="67EB9981" w14:textId="77777777" w:rsidR="003E5B95" w:rsidRPr="00882BE9" w:rsidRDefault="003E5B95" w:rsidP="003E5B95">
      <w:pPr>
        <w:pStyle w:val="EndNoteBibliography"/>
        <w:spacing w:after="240"/>
        <w:ind w:left="720" w:hanging="720"/>
      </w:pPr>
      <w:r w:rsidRPr="00882BE9">
        <w:t xml:space="preserve">Edwards, J. R., &amp; Cooper, C. L. (1988). The impacts of positive psychological states on physical health: A review and theoretical framework. </w:t>
      </w:r>
      <w:r w:rsidRPr="00882BE9">
        <w:rPr>
          <w:i/>
        </w:rPr>
        <w:t>Social Science and Medicine</w:t>
      </w:r>
      <w:r w:rsidRPr="00882BE9">
        <w:t>,</w:t>
      </w:r>
      <w:r w:rsidRPr="00882BE9">
        <w:rPr>
          <w:i/>
        </w:rPr>
        <w:t xml:space="preserve"> 27</w:t>
      </w:r>
      <w:r w:rsidRPr="00882BE9">
        <w:t xml:space="preserve">(12), 1447-1459. </w:t>
      </w:r>
    </w:p>
    <w:p w14:paraId="546CD097" w14:textId="77777777" w:rsidR="003E5B95" w:rsidRPr="00882BE9" w:rsidRDefault="003E5B95" w:rsidP="003E5B95">
      <w:pPr>
        <w:pStyle w:val="EndNoteBibliography"/>
        <w:spacing w:after="240"/>
        <w:ind w:left="720" w:hanging="720"/>
      </w:pPr>
      <w:r w:rsidRPr="00882BE9">
        <w:t xml:space="preserve">Fadel, K. J. (2012). User adaptation and infusion of information systems. </w:t>
      </w:r>
      <w:r w:rsidRPr="00882BE9">
        <w:rPr>
          <w:i/>
        </w:rPr>
        <w:t>Journal of Computer Information Systems</w:t>
      </w:r>
      <w:r w:rsidRPr="00882BE9">
        <w:t>,</w:t>
      </w:r>
      <w:r w:rsidRPr="00882BE9">
        <w:rPr>
          <w:i/>
        </w:rPr>
        <w:t xml:space="preserve"> 52</w:t>
      </w:r>
      <w:r w:rsidRPr="00882BE9">
        <w:t xml:space="preserve">(3), 1-10. </w:t>
      </w:r>
    </w:p>
    <w:p w14:paraId="6D8B0BD1" w14:textId="4239E7CC" w:rsidR="003E5B95" w:rsidRPr="00882BE9" w:rsidRDefault="003E5B95" w:rsidP="003E5B95">
      <w:pPr>
        <w:pStyle w:val="EndNoteBibliography"/>
        <w:spacing w:after="240"/>
        <w:ind w:left="720" w:hanging="720"/>
      </w:pPr>
      <w:r w:rsidRPr="00882BE9">
        <w:t xml:space="preserve">Field, A. (2013). </w:t>
      </w:r>
      <w:r w:rsidRPr="00882BE9">
        <w:rPr>
          <w:i/>
        </w:rPr>
        <w:t>Discovering Statistics Using IBM SPSS Statistics</w:t>
      </w:r>
      <w:r w:rsidRPr="00882BE9">
        <w:t xml:space="preserve"> (4 ed.). </w:t>
      </w:r>
      <w:r w:rsidR="0039470F">
        <w:t xml:space="preserve">Thousand Oaks, CA: </w:t>
      </w:r>
      <w:r w:rsidRPr="00882BE9">
        <w:t xml:space="preserve">Sage. </w:t>
      </w:r>
    </w:p>
    <w:p w14:paraId="0A513E66" w14:textId="77777777" w:rsidR="003E5B95" w:rsidRPr="00882BE9" w:rsidRDefault="003E5B95" w:rsidP="003E5B95">
      <w:pPr>
        <w:pStyle w:val="EndNoteBibliography"/>
        <w:spacing w:after="240"/>
        <w:ind w:left="720" w:hanging="720"/>
      </w:pPr>
      <w:r w:rsidRPr="00882BE9">
        <w:t xml:space="preserve">Folkman, S., &amp; Lazarus, R. S. (1985). If it changes it must be a process: study of emotion and coping during three stages of a college examination. </w:t>
      </w:r>
      <w:r w:rsidRPr="00882BE9">
        <w:rPr>
          <w:i/>
        </w:rPr>
        <w:t>Journal of Personality and Social Psychology</w:t>
      </w:r>
      <w:r w:rsidRPr="00882BE9">
        <w:t>,</w:t>
      </w:r>
      <w:r w:rsidRPr="00882BE9">
        <w:rPr>
          <w:i/>
        </w:rPr>
        <w:t xml:space="preserve"> 48</w:t>
      </w:r>
      <w:r w:rsidRPr="00882BE9">
        <w:t xml:space="preserve">(1), 150-170. </w:t>
      </w:r>
    </w:p>
    <w:p w14:paraId="69D39110" w14:textId="77777777" w:rsidR="003E5B95" w:rsidRPr="00882BE9" w:rsidRDefault="003E5B95" w:rsidP="003E5B95">
      <w:pPr>
        <w:pStyle w:val="EndNoteBibliography"/>
        <w:spacing w:after="240"/>
        <w:ind w:left="720" w:hanging="720"/>
      </w:pPr>
      <w:r w:rsidRPr="00882BE9">
        <w:t xml:space="preserve">Folkman, S., Lazarus, R. S., Gruen, R. J., &amp; DeLongis, A. (1986). Appraisal, coping, health status, and psychological symptoms. </w:t>
      </w:r>
      <w:r w:rsidRPr="00882BE9">
        <w:rPr>
          <w:i/>
        </w:rPr>
        <w:t>Journal of Personality and Social Psychology</w:t>
      </w:r>
      <w:r w:rsidRPr="00882BE9">
        <w:t>,</w:t>
      </w:r>
      <w:r w:rsidRPr="00882BE9">
        <w:rPr>
          <w:i/>
        </w:rPr>
        <w:t xml:space="preserve"> 50</w:t>
      </w:r>
      <w:r w:rsidRPr="00882BE9">
        <w:t xml:space="preserve">(3), 571-579. </w:t>
      </w:r>
    </w:p>
    <w:p w14:paraId="747113FC" w14:textId="77777777" w:rsidR="003E5B95" w:rsidRPr="00882BE9" w:rsidRDefault="003E5B95" w:rsidP="003E5B95">
      <w:pPr>
        <w:pStyle w:val="EndNoteBibliography"/>
        <w:spacing w:after="240"/>
        <w:ind w:left="720" w:hanging="720"/>
      </w:pPr>
      <w:r w:rsidRPr="00882BE9">
        <w:t xml:space="preserve">Fornell, C., &amp; Larcker, D. F. (1981). Evaluating structural equation models with unobservable variables and measurement error. </w:t>
      </w:r>
      <w:r w:rsidRPr="00882BE9">
        <w:rPr>
          <w:i/>
        </w:rPr>
        <w:t>Journal of marketing research</w:t>
      </w:r>
      <w:r w:rsidRPr="00882BE9">
        <w:t>,</w:t>
      </w:r>
      <w:r w:rsidRPr="00882BE9">
        <w:rPr>
          <w:i/>
        </w:rPr>
        <w:t xml:space="preserve"> 18</w:t>
      </w:r>
      <w:r w:rsidRPr="00882BE9">
        <w:t xml:space="preserve">(1), 39-50. </w:t>
      </w:r>
    </w:p>
    <w:p w14:paraId="3118B072" w14:textId="77777777" w:rsidR="003E5B95" w:rsidRPr="00882BE9" w:rsidRDefault="003E5B95" w:rsidP="003E5B95">
      <w:pPr>
        <w:pStyle w:val="EndNoteBibliography"/>
        <w:spacing w:after="240"/>
        <w:ind w:left="720" w:hanging="720"/>
      </w:pPr>
      <w:r w:rsidRPr="00882BE9">
        <w:t xml:space="preserve">Francis, J. J., Johnston, M., Robertson, C., Glidewell, L., Entwistle, V., Eccles, M. P., &amp; Grimshaw, J. M. (2010). What is an adequate sample size? Operationalising data saturation for theory-based interview studies. </w:t>
      </w:r>
      <w:r w:rsidRPr="00882BE9">
        <w:rPr>
          <w:i/>
        </w:rPr>
        <w:t>Psychology and Health</w:t>
      </w:r>
      <w:r w:rsidRPr="00882BE9">
        <w:t>,</w:t>
      </w:r>
      <w:r w:rsidRPr="00882BE9">
        <w:rPr>
          <w:i/>
        </w:rPr>
        <w:t xml:space="preserve"> 25</w:t>
      </w:r>
      <w:r w:rsidRPr="00882BE9">
        <w:t xml:space="preserve">(10), 1229-1245. </w:t>
      </w:r>
    </w:p>
    <w:p w14:paraId="1B35CFAC" w14:textId="580133EE" w:rsidR="003E5B95" w:rsidRPr="00882BE9" w:rsidRDefault="003E5B95" w:rsidP="003E5B95">
      <w:pPr>
        <w:pStyle w:val="EndNoteBibliography"/>
        <w:spacing w:after="240"/>
        <w:ind w:left="720" w:hanging="720"/>
      </w:pPr>
      <w:r w:rsidRPr="00882BE9">
        <w:t xml:space="preserve">Friedman, B. A., &amp; Reed, L. J. (2007). Workplace privacy: Employee relations and legal implications of monitoring employee e-mail use. </w:t>
      </w:r>
      <w:r w:rsidRPr="00882BE9">
        <w:rPr>
          <w:i/>
        </w:rPr>
        <w:t>Employee Responsibilites R</w:t>
      </w:r>
      <w:r w:rsidR="00B55D14">
        <w:rPr>
          <w:i/>
        </w:rPr>
        <w:t>i</w:t>
      </w:r>
      <w:r w:rsidRPr="00882BE9">
        <w:rPr>
          <w:i/>
        </w:rPr>
        <w:t>ghts Journal</w:t>
      </w:r>
      <w:r w:rsidRPr="00882BE9">
        <w:t>,</w:t>
      </w:r>
      <w:r w:rsidRPr="00882BE9">
        <w:rPr>
          <w:i/>
        </w:rPr>
        <w:t xml:space="preserve"> 19</w:t>
      </w:r>
      <w:r w:rsidRPr="00882BE9">
        <w:t xml:space="preserve">(2), 75-83. </w:t>
      </w:r>
    </w:p>
    <w:p w14:paraId="7A6CAD2F" w14:textId="77777777" w:rsidR="003E5B95" w:rsidRPr="00882BE9" w:rsidRDefault="003E5B95" w:rsidP="003E5B95">
      <w:pPr>
        <w:pStyle w:val="EndNoteBibliography"/>
        <w:spacing w:after="240"/>
        <w:ind w:left="720" w:hanging="720"/>
      </w:pPr>
      <w:r w:rsidRPr="00882BE9">
        <w:t xml:space="preserve">Galluch, P. S., Grover, V., &amp; Thatcher, J. B. (2015). Interrupting the workplace: Examining stressors in an information technology context. </w:t>
      </w:r>
      <w:r w:rsidRPr="00882BE9">
        <w:rPr>
          <w:i/>
        </w:rPr>
        <w:t>Journal of the Association for Information Systems</w:t>
      </w:r>
      <w:r w:rsidRPr="00882BE9">
        <w:t>,</w:t>
      </w:r>
      <w:r w:rsidRPr="00882BE9">
        <w:rPr>
          <w:i/>
        </w:rPr>
        <w:t xml:space="preserve"> 16</w:t>
      </w:r>
      <w:r w:rsidRPr="00882BE9">
        <w:t xml:space="preserve">(1), 1-47. </w:t>
      </w:r>
    </w:p>
    <w:p w14:paraId="363CCAA7" w14:textId="77777777" w:rsidR="003E5B95" w:rsidRPr="00882BE9" w:rsidRDefault="003E5B95" w:rsidP="003E5B95">
      <w:pPr>
        <w:pStyle w:val="EndNoteBibliography"/>
        <w:spacing w:after="240"/>
        <w:ind w:left="720" w:hanging="720"/>
      </w:pPr>
      <w:r w:rsidRPr="00882BE9">
        <w:t xml:space="preserve">Henseler, J., Ringle, C. M., &amp; Sarstedt, M. (2015). A new criterion for assessing discriminant validity in variance-based structural equation modeling. </w:t>
      </w:r>
      <w:r w:rsidRPr="00882BE9">
        <w:rPr>
          <w:i/>
        </w:rPr>
        <w:t>Journal of the Academy of Marketing Science</w:t>
      </w:r>
      <w:r w:rsidRPr="00882BE9">
        <w:t>,</w:t>
      </w:r>
      <w:r w:rsidRPr="00882BE9">
        <w:rPr>
          <w:i/>
        </w:rPr>
        <w:t xml:space="preserve"> 43</w:t>
      </w:r>
      <w:r w:rsidRPr="00882BE9">
        <w:t xml:space="preserve">(1), 115-135. </w:t>
      </w:r>
      <w:r w:rsidRPr="00EC5759">
        <w:t>https://doi.org/10.1007/s11747-014-0403-8</w:t>
      </w:r>
      <w:r w:rsidRPr="00882BE9">
        <w:t xml:space="preserve"> </w:t>
      </w:r>
    </w:p>
    <w:p w14:paraId="553735C5" w14:textId="77777777" w:rsidR="003E5B95" w:rsidRPr="00882BE9" w:rsidRDefault="003E5B95" w:rsidP="003E5B95">
      <w:pPr>
        <w:pStyle w:val="EndNoteBibliography"/>
        <w:spacing w:after="240"/>
        <w:ind w:left="720" w:hanging="720"/>
      </w:pPr>
      <w:r w:rsidRPr="00882BE9">
        <w:t xml:space="preserve">Jarvis, C. B., MacKenzie, S. B., &amp; Podsakoff, P. M. (2003). A Critical Review of Construct Indicators and Measurement Model Misspecification in Marketing and Consumer Research. </w:t>
      </w:r>
      <w:r w:rsidRPr="00882BE9">
        <w:rPr>
          <w:i/>
        </w:rPr>
        <w:t>Journal of Consumer Research</w:t>
      </w:r>
      <w:r w:rsidRPr="00882BE9">
        <w:t>,</w:t>
      </w:r>
      <w:r w:rsidRPr="00882BE9">
        <w:rPr>
          <w:i/>
        </w:rPr>
        <w:t xml:space="preserve"> 30</w:t>
      </w:r>
      <w:r w:rsidRPr="00882BE9">
        <w:t xml:space="preserve">(2), 199-218. </w:t>
      </w:r>
      <w:r w:rsidRPr="00EC5759">
        <w:t>https://doi.org/10.1086/376806</w:t>
      </w:r>
      <w:r w:rsidRPr="00882BE9">
        <w:t xml:space="preserve"> </w:t>
      </w:r>
    </w:p>
    <w:p w14:paraId="42169CE2" w14:textId="77777777" w:rsidR="003E5B95" w:rsidRPr="00882BE9" w:rsidRDefault="003E5B95" w:rsidP="003E5B95">
      <w:pPr>
        <w:pStyle w:val="EndNoteBibliography"/>
        <w:spacing w:after="240"/>
        <w:ind w:left="720" w:hanging="720"/>
      </w:pPr>
      <w:r w:rsidRPr="00882BE9">
        <w:lastRenderedPageBreak/>
        <w:t xml:space="preserve">Jeske, D., &amp; Santuzzi, A. M. (2015). Monitoring what and how: psychological implications of electronic performance monitoring. </w:t>
      </w:r>
      <w:r w:rsidRPr="00882BE9">
        <w:rPr>
          <w:i/>
        </w:rPr>
        <w:t>New Technology, Work Employment</w:t>
      </w:r>
      <w:r w:rsidRPr="00882BE9">
        <w:t>,</w:t>
      </w:r>
      <w:r w:rsidRPr="00882BE9">
        <w:rPr>
          <w:i/>
        </w:rPr>
        <w:t xml:space="preserve"> 30</w:t>
      </w:r>
      <w:r w:rsidRPr="00882BE9">
        <w:t xml:space="preserve">(1), 62-78. </w:t>
      </w:r>
    </w:p>
    <w:p w14:paraId="788D6D87" w14:textId="77777777" w:rsidR="003E5B95" w:rsidRPr="00882BE9" w:rsidRDefault="003E5B95" w:rsidP="003E5B95">
      <w:pPr>
        <w:pStyle w:val="EndNoteBibliography"/>
        <w:spacing w:after="240"/>
        <w:ind w:left="720" w:hanging="720"/>
      </w:pPr>
      <w:r w:rsidRPr="00882BE9">
        <w:t xml:space="preserve">Johnston, A. C., Warkentin, M., McBride, M., &amp; Carter, L. (2016). Dispositional and situational factors: influences on information security policy violations. </w:t>
      </w:r>
      <w:r w:rsidRPr="00882BE9">
        <w:rPr>
          <w:i/>
        </w:rPr>
        <w:t>European Journal of Information Systems</w:t>
      </w:r>
      <w:r w:rsidRPr="00882BE9">
        <w:t>,</w:t>
      </w:r>
      <w:r w:rsidRPr="00882BE9">
        <w:rPr>
          <w:i/>
        </w:rPr>
        <w:t xml:space="preserve"> 25</w:t>
      </w:r>
      <w:r w:rsidRPr="00882BE9">
        <w:t xml:space="preserve">(3), 231-251. </w:t>
      </w:r>
      <w:r w:rsidRPr="00EC5759">
        <w:t>https://doi.org/10.1057/ejis.2015.15</w:t>
      </w:r>
      <w:r w:rsidRPr="00882BE9">
        <w:t xml:space="preserve"> </w:t>
      </w:r>
    </w:p>
    <w:p w14:paraId="64AFD5AB" w14:textId="77777777" w:rsidR="003E5B95" w:rsidRPr="00882BE9" w:rsidRDefault="003E5B95" w:rsidP="003E5B95">
      <w:pPr>
        <w:pStyle w:val="EndNoteBibliography"/>
        <w:spacing w:after="240"/>
        <w:ind w:left="720" w:hanging="720"/>
      </w:pPr>
      <w:r w:rsidRPr="00882BE9">
        <w:t xml:space="preserve">Kallman, E. (1993). Electronic monitoring of employees: Issues and guidelines. </w:t>
      </w:r>
      <w:r w:rsidRPr="00882BE9">
        <w:rPr>
          <w:i/>
        </w:rPr>
        <w:t>Journal of Systems Management</w:t>
      </w:r>
      <w:r w:rsidRPr="00882BE9">
        <w:t>,</w:t>
      </w:r>
      <w:r w:rsidRPr="00882BE9">
        <w:rPr>
          <w:i/>
        </w:rPr>
        <w:t xml:space="preserve"> 44</w:t>
      </w:r>
      <w:r w:rsidRPr="00882BE9">
        <w:t xml:space="preserve">(6), 17. </w:t>
      </w:r>
    </w:p>
    <w:p w14:paraId="48A4E440" w14:textId="77777777" w:rsidR="003E5B95" w:rsidRPr="00882BE9" w:rsidRDefault="003E5B95" w:rsidP="003E5B95">
      <w:pPr>
        <w:pStyle w:val="EndNoteBibliography"/>
        <w:spacing w:after="240"/>
        <w:ind w:left="720" w:hanging="720"/>
      </w:pPr>
      <w:r w:rsidRPr="00882BE9">
        <w:t xml:space="preserve">Langley, A. (1999). Strategies for theorizing from process data. </w:t>
      </w:r>
      <w:r w:rsidRPr="00882BE9">
        <w:rPr>
          <w:i/>
        </w:rPr>
        <w:t>Academy of Management Review</w:t>
      </w:r>
      <w:r w:rsidRPr="00882BE9">
        <w:t>,</w:t>
      </w:r>
      <w:r w:rsidRPr="00882BE9">
        <w:rPr>
          <w:i/>
        </w:rPr>
        <w:t xml:space="preserve"> 24</w:t>
      </w:r>
      <w:r w:rsidRPr="00882BE9">
        <w:t xml:space="preserve">(4), 691-710. </w:t>
      </w:r>
    </w:p>
    <w:p w14:paraId="78D55100" w14:textId="215C751C" w:rsidR="003E5B95" w:rsidRPr="00882BE9" w:rsidRDefault="003E5B95" w:rsidP="003E5B95">
      <w:pPr>
        <w:pStyle w:val="EndNoteBibliography"/>
        <w:spacing w:after="240"/>
        <w:ind w:left="720" w:hanging="720"/>
      </w:pPr>
      <w:r w:rsidRPr="00882BE9">
        <w:t>Lazarus, R.</w:t>
      </w:r>
      <w:r w:rsidR="00710F72">
        <w:t xml:space="preserve"> S.</w:t>
      </w:r>
      <w:r w:rsidRPr="00882BE9">
        <w:t xml:space="preserve"> (1999). </w:t>
      </w:r>
      <w:r w:rsidRPr="00882BE9">
        <w:rPr>
          <w:i/>
        </w:rPr>
        <w:t>Stress and emotion: a new synthesis</w:t>
      </w:r>
      <w:r w:rsidRPr="00882BE9">
        <w:t xml:space="preserve">. </w:t>
      </w:r>
      <w:r w:rsidR="00B55D14">
        <w:t xml:space="preserve">New York: </w:t>
      </w:r>
      <w:r w:rsidRPr="00882BE9">
        <w:t>Springer Publishing Co.</w:t>
      </w:r>
      <w:r w:rsidR="00710F72">
        <w:t xml:space="preserve"> </w:t>
      </w:r>
    </w:p>
    <w:p w14:paraId="2A916077" w14:textId="77777777" w:rsidR="003E5B95" w:rsidRPr="00882BE9" w:rsidRDefault="003E5B95" w:rsidP="003E5B95">
      <w:pPr>
        <w:pStyle w:val="EndNoteBibliography"/>
        <w:spacing w:after="240"/>
        <w:ind w:left="720" w:hanging="720"/>
      </w:pPr>
      <w:r w:rsidRPr="00882BE9">
        <w:t xml:space="preserve">Lazarus, R. S. (1993). From psychological stress to the emotions: A history of changing outlooks. </w:t>
      </w:r>
      <w:r w:rsidRPr="00882BE9">
        <w:rPr>
          <w:i/>
        </w:rPr>
        <w:t>Annual review of psychology</w:t>
      </w:r>
      <w:r w:rsidRPr="00882BE9">
        <w:t>,</w:t>
      </w:r>
      <w:r w:rsidRPr="00882BE9">
        <w:rPr>
          <w:i/>
        </w:rPr>
        <w:t xml:space="preserve"> 44</w:t>
      </w:r>
      <w:r w:rsidRPr="00882BE9">
        <w:t xml:space="preserve">(1), 1-22. </w:t>
      </w:r>
    </w:p>
    <w:p w14:paraId="262E8BA0" w14:textId="0DC2DA2D" w:rsidR="003E5B95" w:rsidRPr="00882BE9" w:rsidRDefault="003E5B95" w:rsidP="003E5B95">
      <w:pPr>
        <w:pStyle w:val="EndNoteBibliography"/>
        <w:spacing w:after="240"/>
        <w:ind w:left="720" w:hanging="720"/>
      </w:pPr>
      <w:r w:rsidRPr="00882BE9">
        <w:t xml:space="preserve">Lazarus, R. S., &amp; Folkman, S. (1984). </w:t>
      </w:r>
      <w:r w:rsidRPr="00882BE9">
        <w:rPr>
          <w:i/>
        </w:rPr>
        <w:t>Stress, appraisal, and coping</w:t>
      </w:r>
      <w:r w:rsidRPr="00882BE9">
        <w:t xml:space="preserve">. </w:t>
      </w:r>
      <w:r w:rsidR="00B55D14">
        <w:t xml:space="preserve">New York: </w:t>
      </w:r>
      <w:r w:rsidRPr="00882BE9">
        <w:t>Springer publishing company.</w:t>
      </w:r>
      <w:r w:rsidR="00B55D14">
        <w:t xml:space="preserve"> </w:t>
      </w:r>
    </w:p>
    <w:p w14:paraId="62AF3D28" w14:textId="77777777" w:rsidR="003E5B95" w:rsidRPr="00882BE9" w:rsidRDefault="003E5B95" w:rsidP="003E5B95">
      <w:pPr>
        <w:pStyle w:val="EndNoteBibliography"/>
        <w:spacing w:after="240"/>
        <w:ind w:left="720" w:hanging="720"/>
      </w:pPr>
      <w:r w:rsidRPr="00882BE9">
        <w:t xml:space="preserve">Lazarus, R. S., &amp; Folkman, S. (1987). Transactional theory and research on emotions and coping. </w:t>
      </w:r>
      <w:r w:rsidRPr="00882BE9">
        <w:rPr>
          <w:i/>
        </w:rPr>
        <w:t>European Journal of Personality</w:t>
      </w:r>
      <w:r w:rsidRPr="00882BE9">
        <w:t>,</w:t>
      </w:r>
      <w:r w:rsidRPr="00882BE9">
        <w:rPr>
          <w:i/>
        </w:rPr>
        <w:t xml:space="preserve"> 1</w:t>
      </w:r>
      <w:r w:rsidRPr="00882BE9">
        <w:t xml:space="preserve">(3), 141-169. </w:t>
      </w:r>
    </w:p>
    <w:p w14:paraId="77CA2508" w14:textId="77777777" w:rsidR="003E5B95" w:rsidRPr="00882BE9" w:rsidRDefault="003E5B95" w:rsidP="003E5B95">
      <w:pPr>
        <w:pStyle w:val="EndNoteBibliography"/>
        <w:spacing w:after="240"/>
        <w:ind w:left="720" w:hanging="720"/>
      </w:pPr>
      <w:r w:rsidRPr="00882BE9">
        <w:t xml:space="preserve">LePine, J. A., LePine, M. A., &amp; Jackson, C. L. (2004). Challenge and hindrance stress: relationships with exhaustion, motivation to learn, and learning performance. </w:t>
      </w:r>
      <w:r w:rsidRPr="00882BE9">
        <w:rPr>
          <w:i/>
        </w:rPr>
        <w:t>Journal of Applied Psychology</w:t>
      </w:r>
      <w:r w:rsidRPr="00882BE9">
        <w:t>,</w:t>
      </w:r>
      <w:r w:rsidRPr="00882BE9">
        <w:rPr>
          <w:i/>
        </w:rPr>
        <w:t xml:space="preserve"> 89</w:t>
      </w:r>
      <w:r w:rsidRPr="00882BE9">
        <w:t xml:space="preserve">(5), 883-891. </w:t>
      </w:r>
    </w:p>
    <w:p w14:paraId="20FBADA0" w14:textId="77777777" w:rsidR="003E5B95" w:rsidRPr="00882BE9" w:rsidRDefault="003E5B95" w:rsidP="003E5B95">
      <w:pPr>
        <w:pStyle w:val="EndNoteBibliography"/>
        <w:spacing w:after="240"/>
        <w:ind w:left="720" w:hanging="720"/>
      </w:pPr>
      <w:r w:rsidRPr="00882BE9">
        <w:t xml:space="preserve">LePine, J. A., Podsakoff, N. P., &amp; LePine, M. A. (2005). A meta-analytic test of the challenge stressor–hindrance stressor framework: An explanation for inconsistent relationships among stressors and performance. </w:t>
      </w:r>
      <w:r w:rsidRPr="00882BE9">
        <w:rPr>
          <w:i/>
        </w:rPr>
        <w:t>Academy of Management Journal</w:t>
      </w:r>
      <w:r w:rsidRPr="00882BE9">
        <w:t>,</w:t>
      </w:r>
      <w:r w:rsidRPr="00882BE9">
        <w:rPr>
          <w:i/>
        </w:rPr>
        <w:t xml:space="preserve"> 48</w:t>
      </w:r>
      <w:r w:rsidRPr="00882BE9">
        <w:t xml:space="preserve">(5), 764-775. </w:t>
      </w:r>
    </w:p>
    <w:p w14:paraId="7240A791" w14:textId="144C194E" w:rsidR="003E5B95" w:rsidRPr="00882BE9" w:rsidRDefault="003E5B95" w:rsidP="003E5B95">
      <w:pPr>
        <w:pStyle w:val="EndNoteBibliography"/>
        <w:spacing w:after="240"/>
        <w:ind w:left="720" w:hanging="720"/>
      </w:pPr>
      <w:r w:rsidRPr="00882BE9">
        <w:t xml:space="preserve">Liang, H., &amp; Xue, Y. (2009). Avoidance of Information Technology Threats: A Theoretical Perspective. </w:t>
      </w:r>
      <w:r w:rsidRPr="00882BE9">
        <w:rPr>
          <w:i/>
        </w:rPr>
        <w:t>MIS Quarterly</w:t>
      </w:r>
      <w:r w:rsidRPr="00882BE9">
        <w:t>,</w:t>
      </w:r>
      <w:r w:rsidRPr="00882BE9">
        <w:rPr>
          <w:i/>
        </w:rPr>
        <w:t xml:space="preserve"> 33</w:t>
      </w:r>
      <w:r w:rsidRPr="00882BE9">
        <w:t xml:space="preserve">(1), 71-90. </w:t>
      </w:r>
      <w:r w:rsidRPr="00EC5759">
        <w:t>https://doi.org/10.2307/20650279</w:t>
      </w:r>
      <w:r w:rsidRPr="00882BE9">
        <w:t xml:space="preserve"> </w:t>
      </w:r>
    </w:p>
    <w:p w14:paraId="35695AB7" w14:textId="2A8B9E4E" w:rsidR="003E5B95" w:rsidRPr="00882BE9" w:rsidRDefault="003E5B95" w:rsidP="003E5B95">
      <w:pPr>
        <w:pStyle w:val="EndNoteBibliography"/>
        <w:spacing w:after="240"/>
        <w:ind w:left="720" w:hanging="720"/>
      </w:pPr>
      <w:r w:rsidRPr="00882BE9">
        <w:t xml:space="preserve">Liang, H., Xue, Y., Pinsonneault, A., &amp; Wu “Andy”, Y. (2019). What Users Do Besides Problem-Focused Coping When Facing IT Security Threats: An Emotion-Focused Coping Perspective. </w:t>
      </w:r>
      <w:r w:rsidRPr="00882BE9">
        <w:rPr>
          <w:i/>
        </w:rPr>
        <w:t>MIS Quarterly</w:t>
      </w:r>
      <w:r w:rsidRPr="00882BE9">
        <w:t>,</w:t>
      </w:r>
      <w:r w:rsidRPr="00882BE9">
        <w:rPr>
          <w:i/>
        </w:rPr>
        <w:t xml:space="preserve"> 43</w:t>
      </w:r>
      <w:r w:rsidRPr="00882BE9">
        <w:t xml:space="preserve">(2), 373-394. </w:t>
      </w:r>
      <w:r w:rsidRPr="00EC5759">
        <w:t>https://doi.org/10.25300/MISQ/2019/14360</w:t>
      </w:r>
      <w:r w:rsidRPr="00882BE9">
        <w:t xml:space="preserve"> </w:t>
      </w:r>
    </w:p>
    <w:p w14:paraId="25C9EDD5" w14:textId="77777777" w:rsidR="003E5B95" w:rsidRPr="00882BE9" w:rsidRDefault="003E5B95" w:rsidP="003E5B95">
      <w:pPr>
        <w:pStyle w:val="EndNoteBibliography"/>
        <w:spacing w:after="240"/>
        <w:ind w:left="720" w:hanging="720"/>
      </w:pPr>
      <w:r w:rsidRPr="00882BE9">
        <w:t xml:space="preserve">MacKenzie, S. B., Podsakoff, P. M., &amp; Podsakoff, N. P. (2011). Construct measurement and validation procedures in MIS and behavioral research: Integrating new and existing techniques. </w:t>
      </w:r>
      <w:r w:rsidRPr="00882BE9">
        <w:rPr>
          <w:i/>
        </w:rPr>
        <w:t>MIS Quarterly</w:t>
      </w:r>
      <w:r w:rsidRPr="00882BE9">
        <w:t>,</w:t>
      </w:r>
      <w:r w:rsidRPr="00882BE9">
        <w:rPr>
          <w:i/>
        </w:rPr>
        <w:t xml:space="preserve"> 35</w:t>
      </w:r>
      <w:r w:rsidRPr="00882BE9">
        <w:t xml:space="preserve">(2), 293-334. </w:t>
      </w:r>
    </w:p>
    <w:p w14:paraId="4EB5C591" w14:textId="77777777" w:rsidR="003E5B95" w:rsidRPr="00882BE9" w:rsidRDefault="003E5B95" w:rsidP="003E5B95">
      <w:pPr>
        <w:pStyle w:val="EndNoteBibliography"/>
        <w:spacing w:after="240"/>
        <w:ind w:left="720" w:hanging="720"/>
      </w:pPr>
      <w:r w:rsidRPr="00882BE9">
        <w:t xml:space="preserve">Maier, C., Laumer, S., Wirth, J., &amp; Weitzel, T. (2019). Technostress and the hierarchical levels of personality: a two-wave study with multiple data samples. </w:t>
      </w:r>
      <w:r w:rsidRPr="00882BE9">
        <w:rPr>
          <w:i/>
        </w:rPr>
        <w:t>European Journal of Information Systems</w:t>
      </w:r>
      <w:r w:rsidRPr="00882BE9">
        <w:t>,</w:t>
      </w:r>
      <w:r w:rsidRPr="00882BE9">
        <w:rPr>
          <w:i/>
        </w:rPr>
        <w:t xml:space="preserve"> 28</w:t>
      </w:r>
      <w:r w:rsidRPr="00882BE9">
        <w:t xml:space="preserve">(5), 496-522. </w:t>
      </w:r>
    </w:p>
    <w:p w14:paraId="2E692691" w14:textId="77777777" w:rsidR="003E5B95" w:rsidRPr="00882BE9" w:rsidRDefault="003E5B95" w:rsidP="003E5B95">
      <w:pPr>
        <w:pStyle w:val="EndNoteBibliography"/>
        <w:spacing w:after="240"/>
        <w:ind w:left="720" w:hanging="720"/>
      </w:pPr>
      <w:r w:rsidRPr="00882BE9">
        <w:lastRenderedPageBreak/>
        <w:t>Maier, C., Wirth, J., Laumer, S., &amp; Weitzel, T. (2017). Personality and Technostress: Theorizing the influence of IT mindfulness. Proceedings of the International Conference on Information Systems, Seoul, South Korea.</w:t>
      </w:r>
    </w:p>
    <w:p w14:paraId="12F948D1" w14:textId="77777777" w:rsidR="003E5B95" w:rsidRPr="00882BE9" w:rsidRDefault="003E5B95" w:rsidP="003E5B95">
      <w:pPr>
        <w:pStyle w:val="EndNoteBibliography"/>
        <w:spacing w:after="240"/>
        <w:ind w:left="720" w:hanging="720"/>
      </w:pPr>
      <w:r w:rsidRPr="00882BE9">
        <w:t xml:space="preserve">Marsh, H. W., &amp; Hocevar, D. (1985). Application of confirmatory factor analysis to the study of self-concept: First- and higher order factor models and their invariance across groups. </w:t>
      </w:r>
      <w:r w:rsidRPr="00882BE9">
        <w:rPr>
          <w:i/>
        </w:rPr>
        <w:t>Psychological bulletin</w:t>
      </w:r>
      <w:r w:rsidRPr="00882BE9">
        <w:t>,</w:t>
      </w:r>
      <w:r w:rsidRPr="00882BE9">
        <w:rPr>
          <w:i/>
        </w:rPr>
        <w:t xml:space="preserve"> 97</w:t>
      </w:r>
      <w:r w:rsidRPr="00882BE9">
        <w:t xml:space="preserve">(3), 562-582. </w:t>
      </w:r>
      <w:r w:rsidRPr="00EC5759">
        <w:t>https://doi.org/10.1037/0033-2909.97.3.562</w:t>
      </w:r>
      <w:r w:rsidRPr="00882BE9">
        <w:t xml:space="preserve"> </w:t>
      </w:r>
    </w:p>
    <w:p w14:paraId="006B3FFD" w14:textId="77777777" w:rsidR="003E5B95" w:rsidRPr="00882BE9" w:rsidRDefault="003E5B95" w:rsidP="003E5B95">
      <w:pPr>
        <w:pStyle w:val="EndNoteBibliography"/>
        <w:spacing w:after="240"/>
        <w:ind w:left="720" w:hanging="720"/>
      </w:pPr>
      <w:r w:rsidRPr="00882BE9">
        <w:t xml:space="preserve">Mazzola, J. J., &amp; Disselhorst, R. (2019). Should we be “challenging” employees?: A critical review and meta-analysis of the challenge-hindrance model of stress. </w:t>
      </w:r>
      <w:r w:rsidRPr="00882BE9">
        <w:rPr>
          <w:i/>
        </w:rPr>
        <w:t>Journal of Organizational Behavior</w:t>
      </w:r>
      <w:r w:rsidRPr="00882BE9">
        <w:t>,</w:t>
      </w:r>
      <w:r w:rsidRPr="00882BE9">
        <w:rPr>
          <w:i/>
        </w:rPr>
        <w:t xml:space="preserve"> 40</w:t>
      </w:r>
      <w:r w:rsidRPr="00882BE9">
        <w:t xml:space="preserve">(8), 949-961. </w:t>
      </w:r>
      <w:r w:rsidRPr="00EC5759">
        <w:t>https://doi.org/https://doi.org/10.1002/job.2412</w:t>
      </w:r>
      <w:r w:rsidRPr="00882BE9">
        <w:t xml:space="preserve"> </w:t>
      </w:r>
    </w:p>
    <w:p w14:paraId="2D827A05" w14:textId="77777777" w:rsidR="003E5B95" w:rsidRPr="00882BE9" w:rsidRDefault="003E5B95" w:rsidP="003E5B95">
      <w:pPr>
        <w:pStyle w:val="EndNoteBibliography"/>
        <w:spacing w:after="240"/>
        <w:ind w:left="720" w:hanging="720"/>
      </w:pPr>
      <w:r w:rsidRPr="00882BE9">
        <w:t xml:space="preserve">Nebeker, D. M., &amp; Tatum, B. C. (1993). The Effects of Computer Monitoring, Standards, and Rewards on Work Performance, Job Satisfaction, and Stress. </w:t>
      </w:r>
      <w:r w:rsidRPr="00882BE9">
        <w:rPr>
          <w:i/>
        </w:rPr>
        <w:t>Journal of Applied Social Psychology</w:t>
      </w:r>
      <w:r w:rsidRPr="00882BE9">
        <w:t>,</w:t>
      </w:r>
      <w:r w:rsidRPr="00882BE9">
        <w:rPr>
          <w:i/>
        </w:rPr>
        <w:t xml:space="preserve"> 23</w:t>
      </w:r>
      <w:r w:rsidRPr="00882BE9">
        <w:t xml:space="preserve">(7), 508-536. </w:t>
      </w:r>
    </w:p>
    <w:p w14:paraId="018FD2A2" w14:textId="77777777" w:rsidR="003E5B95" w:rsidRPr="00882BE9" w:rsidRDefault="003E5B95" w:rsidP="003E5B95">
      <w:pPr>
        <w:pStyle w:val="EndNoteBibliography"/>
        <w:spacing w:after="240"/>
        <w:ind w:left="720" w:hanging="720"/>
      </w:pPr>
      <w:r w:rsidRPr="00882BE9">
        <w:t xml:space="preserve">Nelson, D. L., &amp; Simmons, B. L. (2011). Savoring eustress while coping with distress: The holistic model of stress. In </w:t>
      </w:r>
      <w:r w:rsidRPr="00882BE9">
        <w:rPr>
          <w:i/>
        </w:rPr>
        <w:t>Handbook of occupational health psychology</w:t>
      </w:r>
      <w:r w:rsidRPr="00882BE9">
        <w:t xml:space="preserve"> (2 ed., pp. 55-74). American Psychological Association. </w:t>
      </w:r>
    </w:p>
    <w:p w14:paraId="05905467" w14:textId="77777777" w:rsidR="003E5B95" w:rsidRPr="00882BE9" w:rsidRDefault="003E5B95" w:rsidP="003E5B95">
      <w:pPr>
        <w:pStyle w:val="EndNoteBibliography"/>
        <w:spacing w:after="240"/>
        <w:ind w:left="720" w:hanging="720"/>
      </w:pPr>
      <w:r w:rsidRPr="00882BE9">
        <w:t xml:space="preserve">Newhouse, W., Keith, S., Scribner, B., &amp; Witte, G. (2017). National Initiative for Cybersecurity Education (NICE) Cybersecurity Workforce Framework. </w:t>
      </w:r>
      <w:r w:rsidRPr="00882BE9">
        <w:rPr>
          <w:i/>
        </w:rPr>
        <w:t>NIST Special Publication</w:t>
      </w:r>
      <w:r w:rsidRPr="00882BE9">
        <w:t>,</w:t>
      </w:r>
      <w:r w:rsidRPr="00882BE9">
        <w:rPr>
          <w:i/>
        </w:rPr>
        <w:t xml:space="preserve"> 800</w:t>
      </w:r>
      <w:r w:rsidRPr="00882BE9">
        <w:t xml:space="preserve">, 181. </w:t>
      </w:r>
    </w:p>
    <w:p w14:paraId="0D02B074" w14:textId="77777777" w:rsidR="003E5B95" w:rsidRPr="00882BE9" w:rsidRDefault="003E5B95" w:rsidP="003E5B95">
      <w:pPr>
        <w:pStyle w:val="EndNoteBibliography"/>
        <w:spacing w:after="240"/>
        <w:ind w:left="720" w:hanging="720"/>
      </w:pPr>
      <w:r w:rsidRPr="00882BE9">
        <w:t xml:space="preserve">Oltsik, J. (2019). </w:t>
      </w:r>
      <w:r w:rsidRPr="00882BE9">
        <w:rPr>
          <w:i/>
        </w:rPr>
        <w:t xml:space="preserve">The Life and Times of Cybersecurity Professionals 2018 </w:t>
      </w:r>
      <w:r w:rsidRPr="00882BE9">
        <w:t xml:space="preserve">Retrieved Mar 2, 2020 from </w:t>
      </w:r>
      <w:r w:rsidRPr="00EC5759">
        <w:t>https://www.esg-global.com/hubfs/pdf/ESG-ISSA-Research-Report-Life-of-Cybersecurity-Professionals-Apr-2019.pdf</w:t>
      </w:r>
    </w:p>
    <w:p w14:paraId="3B37FBDF" w14:textId="77777777" w:rsidR="003E5B95" w:rsidRPr="00882BE9" w:rsidRDefault="003E5B95" w:rsidP="003E5B95">
      <w:pPr>
        <w:pStyle w:val="EndNoteBibliography"/>
        <w:spacing w:after="240"/>
        <w:ind w:left="720" w:hanging="720"/>
      </w:pPr>
      <w:r w:rsidRPr="00882BE9">
        <w:t xml:space="preserve">Oltsik, J. (2019). </w:t>
      </w:r>
      <w:r w:rsidRPr="00882BE9">
        <w:rPr>
          <w:i/>
        </w:rPr>
        <w:t>The most stressful aspects of being a cybersecurity professional</w:t>
      </w:r>
      <w:r w:rsidRPr="00882BE9">
        <w:t xml:space="preserve">. CSO United States. Retrieved 25 Oct, 2019 from </w:t>
      </w:r>
      <w:r w:rsidRPr="00EC5759">
        <w:t>https://www.csoonline.com/article/3395865/the-most-stressful-aspects-of-being-a-cybersecurity-professional.html</w:t>
      </w:r>
    </w:p>
    <w:p w14:paraId="6DC672E5" w14:textId="77777777" w:rsidR="003E5B95" w:rsidRPr="00882BE9" w:rsidRDefault="003E5B95" w:rsidP="003E5B95">
      <w:pPr>
        <w:pStyle w:val="EndNoteBibliography"/>
        <w:spacing w:after="240"/>
        <w:ind w:left="720" w:hanging="720"/>
      </w:pPr>
      <w:r w:rsidRPr="00882BE9">
        <w:t xml:space="preserve">Ortiz de Guinea, A., &amp; Webster, J. (2017). Combining variance and process in information systems research: Hybrid approaches. </w:t>
      </w:r>
      <w:r w:rsidRPr="00882BE9">
        <w:rPr>
          <w:i/>
        </w:rPr>
        <w:t>Information and Organization</w:t>
      </w:r>
      <w:r w:rsidRPr="00882BE9">
        <w:t>,</w:t>
      </w:r>
      <w:r w:rsidRPr="00882BE9">
        <w:rPr>
          <w:i/>
        </w:rPr>
        <w:t xml:space="preserve"> 27</w:t>
      </w:r>
      <w:r w:rsidRPr="00882BE9">
        <w:t xml:space="preserve">(3), 144-162. </w:t>
      </w:r>
      <w:r w:rsidRPr="00EC5759">
        <w:t>https://doi.org/https://doi.org/10.1016/j.infoandorg.2017.06.002</w:t>
      </w:r>
      <w:r w:rsidRPr="00882BE9">
        <w:t xml:space="preserve"> </w:t>
      </w:r>
    </w:p>
    <w:p w14:paraId="71329D7F" w14:textId="77777777" w:rsidR="003E5B95" w:rsidRPr="00882BE9" w:rsidRDefault="003E5B95" w:rsidP="003E5B95">
      <w:pPr>
        <w:pStyle w:val="EndNoteBibliography"/>
        <w:spacing w:after="240"/>
        <w:ind w:left="720" w:hanging="720"/>
      </w:pPr>
      <w:r w:rsidRPr="00882BE9">
        <w:t xml:space="preserve">Peacock, E. J., &amp; Wong, P. T. (1990). The stress appraisal measure (SAM): A multidimensional approach to cognitive appraisal. </w:t>
      </w:r>
      <w:r w:rsidRPr="00882BE9">
        <w:rPr>
          <w:i/>
        </w:rPr>
        <w:t>Stress medicine</w:t>
      </w:r>
      <w:r w:rsidRPr="00882BE9">
        <w:t>,</w:t>
      </w:r>
      <w:r w:rsidRPr="00882BE9">
        <w:rPr>
          <w:i/>
        </w:rPr>
        <w:t xml:space="preserve"> 6</w:t>
      </w:r>
      <w:r w:rsidRPr="00882BE9">
        <w:t xml:space="preserve">(3), 227-236. </w:t>
      </w:r>
    </w:p>
    <w:p w14:paraId="3DD0F6F7" w14:textId="77777777" w:rsidR="003E5B95" w:rsidRPr="00882BE9" w:rsidRDefault="003E5B95" w:rsidP="003E5B95">
      <w:pPr>
        <w:pStyle w:val="EndNoteBibliography"/>
        <w:spacing w:after="240"/>
        <w:ind w:left="720" w:hanging="720"/>
      </w:pPr>
      <w:r w:rsidRPr="00882BE9">
        <w:t xml:space="preserve">Petter, S., Straub, D., &amp; Rai, A. (2007). Specifying formative constructs in information systems research. </w:t>
      </w:r>
      <w:r w:rsidRPr="00882BE9">
        <w:rPr>
          <w:i/>
        </w:rPr>
        <w:t>MIS Quarterly</w:t>
      </w:r>
      <w:r w:rsidRPr="00882BE9">
        <w:t>,</w:t>
      </w:r>
      <w:r w:rsidRPr="00882BE9">
        <w:rPr>
          <w:i/>
        </w:rPr>
        <w:t xml:space="preserve"> 31</w:t>
      </w:r>
      <w:r w:rsidRPr="00882BE9">
        <w:t xml:space="preserve">(4), 623-656. </w:t>
      </w:r>
    </w:p>
    <w:p w14:paraId="149F35E1" w14:textId="77777777" w:rsidR="003E5B95" w:rsidRPr="00882BE9" w:rsidRDefault="003E5B95" w:rsidP="003E5B95">
      <w:pPr>
        <w:pStyle w:val="EndNoteBibliography"/>
        <w:spacing w:after="240"/>
        <w:ind w:left="720" w:hanging="720"/>
      </w:pPr>
      <w:r w:rsidRPr="00882BE9">
        <w:t xml:space="preserve">Podsakoff, N. P., LePine, J. A., &amp; LePine, M. A. (2007). Differential challenge stressor-hindrance stressor relationships with job attitudes, turnover intentions, turnover, and withdrawal behavior: a meta-analysis. </w:t>
      </w:r>
      <w:r w:rsidRPr="00882BE9">
        <w:rPr>
          <w:i/>
        </w:rPr>
        <w:t>Journal of Applied Psychology</w:t>
      </w:r>
      <w:r w:rsidRPr="00882BE9">
        <w:t>,</w:t>
      </w:r>
      <w:r w:rsidRPr="00882BE9">
        <w:rPr>
          <w:i/>
        </w:rPr>
        <w:t xml:space="preserve"> 92</w:t>
      </w:r>
      <w:r w:rsidRPr="00882BE9">
        <w:t xml:space="preserve">(2), 438-454. </w:t>
      </w:r>
    </w:p>
    <w:p w14:paraId="3AE2AB8A" w14:textId="77777777" w:rsidR="003E5B95" w:rsidRPr="00882BE9" w:rsidRDefault="003E5B95" w:rsidP="003E5B95">
      <w:pPr>
        <w:pStyle w:val="EndNoteBibliography"/>
        <w:spacing w:after="240"/>
        <w:ind w:left="720" w:hanging="720"/>
      </w:pPr>
      <w:r w:rsidRPr="00882BE9">
        <w:lastRenderedPageBreak/>
        <w:t xml:space="preserve">Podsakoff, P. M., MacKenzie, S. B., Lee, J.-Y., &amp; Podsakoff, N. P. (2003). Common method biases in behavioral research: A critical review of the literature and recommended remedies. </w:t>
      </w:r>
      <w:r w:rsidRPr="00882BE9">
        <w:rPr>
          <w:i/>
        </w:rPr>
        <w:t>Journal of Applied Psychology</w:t>
      </w:r>
      <w:r w:rsidRPr="00882BE9">
        <w:t>,</w:t>
      </w:r>
      <w:r w:rsidRPr="00882BE9">
        <w:rPr>
          <w:i/>
        </w:rPr>
        <w:t xml:space="preserve"> 88</w:t>
      </w:r>
      <w:r w:rsidRPr="00882BE9">
        <w:t xml:space="preserve">(5), 879-903. </w:t>
      </w:r>
    </w:p>
    <w:p w14:paraId="24DBACD1" w14:textId="77777777" w:rsidR="003E5B95" w:rsidRPr="00882BE9" w:rsidRDefault="003E5B95" w:rsidP="003E5B95">
      <w:pPr>
        <w:pStyle w:val="EndNoteBibliography"/>
        <w:spacing w:after="240"/>
        <w:ind w:left="720" w:hanging="720"/>
      </w:pPr>
      <w:r w:rsidRPr="00882BE9">
        <w:t xml:space="preserve">Posey, C., Bennett, B., Roberts, T., &amp; Lowry, P. B. (2011). When computer monitoring backfires: Invasion of privacy and organizational injustice as precursors to computer abuse. </w:t>
      </w:r>
      <w:r w:rsidRPr="00882BE9">
        <w:rPr>
          <w:i/>
        </w:rPr>
        <w:t>Journal of Information Systems Security</w:t>
      </w:r>
      <w:r w:rsidRPr="00882BE9">
        <w:t>,</w:t>
      </w:r>
      <w:r w:rsidRPr="00882BE9">
        <w:rPr>
          <w:i/>
        </w:rPr>
        <w:t xml:space="preserve"> 7</w:t>
      </w:r>
      <w:r w:rsidRPr="00882BE9">
        <w:t xml:space="preserve">(1), 24-47. </w:t>
      </w:r>
    </w:p>
    <w:p w14:paraId="1A81A60B" w14:textId="28774925" w:rsidR="003E5B95" w:rsidRPr="00882BE9" w:rsidRDefault="003E5B95" w:rsidP="003E5B95">
      <w:pPr>
        <w:pStyle w:val="EndNoteBibliography"/>
        <w:spacing w:after="240"/>
        <w:ind w:left="720" w:hanging="720"/>
      </w:pPr>
      <w:r w:rsidRPr="00882BE9">
        <w:t xml:space="preserve">Quick, J. D., Horn, R. S., &amp; Quick, J. C. (1987). Health Consequences of Stress. </w:t>
      </w:r>
      <w:r w:rsidRPr="00882BE9">
        <w:rPr>
          <w:i/>
        </w:rPr>
        <w:t>J</w:t>
      </w:r>
      <w:r w:rsidR="00B46A8E">
        <w:rPr>
          <w:i/>
        </w:rPr>
        <w:t>o</w:t>
      </w:r>
      <w:r w:rsidRPr="00882BE9">
        <w:rPr>
          <w:i/>
        </w:rPr>
        <w:t>urnal of Organizational Behavior Management</w:t>
      </w:r>
      <w:r w:rsidRPr="00882BE9">
        <w:t>,</w:t>
      </w:r>
      <w:r w:rsidRPr="00882BE9">
        <w:rPr>
          <w:i/>
        </w:rPr>
        <w:t xml:space="preserve"> 8</w:t>
      </w:r>
      <w:r w:rsidRPr="00882BE9">
        <w:t xml:space="preserve">(2), 19-36. </w:t>
      </w:r>
    </w:p>
    <w:p w14:paraId="7ACBBED9" w14:textId="77777777" w:rsidR="003E5B95" w:rsidRPr="00882BE9" w:rsidRDefault="003E5B95" w:rsidP="003E5B95">
      <w:pPr>
        <w:pStyle w:val="EndNoteBibliography"/>
        <w:spacing w:after="240"/>
        <w:ind w:left="720" w:hanging="720"/>
      </w:pPr>
      <w:r w:rsidRPr="00882BE9">
        <w:t xml:space="preserve">Ragu-Nathan, T., Tarafdar, M., Ragu-Nathan, B. S., &amp; Tu, Q. (2008). The consequences of technostress for end users in organizations: Conceptual development and empirical validation. </w:t>
      </w:r>
      <w:r w:rsidRPr="00882BE9">
        <w:rPr>
          <w:i/>
        </w:rPr>
        <w:t>Information Systems Research</w:t>
      </w:r>
      <w:r w:rsidRPr="00882BE9">
        <w:t>,</w:t>
      </w:r>
      <w:r w:rsidRPr="00882BE9">
        <w:rPr>
          <w:i/>
        </w:rPr>
        <w:t xml:space="preserve"> 19</w:t>
      </w:r>
      <w:r w:rsidRPr="00882BE9">
        <w:t xml:space="preserve">(4), 417-433. </w:t>
      </w:r>
    </w:p>
    <w:p w14:paraId="75657647" w14:textId="77777777" w:rsidR="003E5B95" w:rsidRPr="00882BE9" w:rsidRDefault="003E5B95" w:rsidP="003E5B95">
      <w:pPr>
        <w:pStyle w:val="EndNoteBibliography"/>
        <w:spacing w:after="240"/>
        <w:ind w:left="720" w:hanging="720"/>
      </w:pPr>
      <w:r w:rsidRPr="00882BE9">
        <w:t xml:space="preserve">Schumacker, R. E. (2002). Latent Variable Interaction Modeling. </w:t>
      </w:r>
      <w:r w:rsidRPr="00882BE9">
        <w:rPr>
          <w:i/>
        </w:rPr>
        <w:t>Structural Equation Modeling: A Multidisciplinary Journal</w:t>
      </w:r>
      <w:r w:rsidRPr="00882BE9">
        <w:t>,</w:t>
      </w:r>
      <w:r w:rsidRPr="00882BE9">
        <w:rPr>
          <w:i/>
        </w:rPr>
        <w:t xml:space="preserve"> 9</w:t>
      </w:r>
      <w:r w:rsidRPr="00882BE9">
        <w:t xml:space="preserve">(1), 40-54. </w:t>
      </w:r>
      <w:r w:rsidRPr="00EC5759">
        <w:t>https://doi.org/10.1207/S15328007SEM0901_3</w:t>
      </w:r>
      <w:r w:rsidRPr="00882BE9">
        <w:t xml:space="preserve"> </w:t>
      </w:r>
    </w:p>
    <w:p w14:paraId="50776DEA" w14:textId="0E856377" w:rsidR="003E5B95" w:rsidRPr="00882BE9" w:rsidRDefault="003E5B95" w:rsidP="003E5B95">
      <w:pPr>
        <w:pStyle w:val="EndNoteBibliography"/>
        <w:spacing w:after="240"/>
        <w:ind w:left="720" w:hanging="720"/>
      </w:pPr>
      <w:r w:rsidRPr="00882BE9">
        <w:t xml:space="preserve">Schumacker, R. E., &amp; Lomax, R. G. (2016). </w:t>
      </w:r>
      <w:r w:rsidRPr="00882BE9">
        <w:rPr>
          <w:i/>
        </w:rPr>
        <w:t>A beginner's guide to structural equation modeling</w:t>
      </w:r>
      <w:r w:rsidRPr="00882BE9">
        <w:t xml:space="preserve"> (4 ed.). </w:t>
      </w:r>
      <w:r w:rsidR="00B46A8E">
        <w:t xml:space="preserve">New York: </w:t>
      </w:r>
      <w:r w:rsidRPr="00882BE9">
        <w:t>Routledge.</w:t>
      </w:r>
    </w:p>
    <w:p w14:paraId="10C0880C" w14:textId="77777777" w:rsidR="003E5B95" w:rsidRPr="00882BE9" w:rsidRDefault="003E5B95" w:rsidP="003E5B95">
      <w:pPr>
        <w:pStyle w:val="EndNoteBibliography"/>
        <w:spacing w:after="240"/>
        <w:ind w:left="720" w:hanging="720"/>
      </w:pPr>
      <w:r w:rsidRPr="00882BE9">
        <w:t xml:space="preserve">Simmons, B. L., &amp; Nelson, D. L. (2001). Eustress at work: The relationship between hope and health in hospital nurses. </w:t>
      </w:r>
      <w:r w:rsidRPr="00882BE9">
        <w:rPr>
          <w:i/>
        </w:rPr>
        <w:t>Health Care Management Review</w:t>
      </w:r>
      <w:r w:rsidRPr="00882BE9">
        <w:t>,</w:t>
      </w:r>
      <w:r w:rsidRPr="00882BE9">
        <w:rPr>
          <w:i/>
        </w:rPr>
        <w:t xml:space="preserve"> 26</w:t>
      </w:r>
      <w:r w:rsidRPr="00882BE9">
        <w:t xml:space="preserve">(4), 7-18. </w:t>
      </w:r>
    </w:p>
    <w:p w14:paraId="452FE643" w14:textId="32B663BC" w:rsidR="003E5B95" w:rsidRPr="00882BE9" w:rsidRDefault="003E5B95" w:rsidP="003E5B95">
      <w:pPr>
        <w:pStyle w:val="EndNoteBibliography"/>
        <w:spacing w:after="240"/>
        <w:ind w:left="720" w:hanging="720"/>
      </w:pPr>
      <w:r w:rsidRPr="00882BE9">
        <w:t xml:space="preserve">Simmons, B. L., &amp; Nelson, D. L. (2007). Eustress at work: Extending the holistic stress model. In D. L. Nelson &amp; C. L. Cooper (Eds.), </w:t>
      </w:r>
      <w:r w:rsidRPr="00882BE9">
        <w:rPr>
          <w:i/>
        </w:rPr>
        <w:t>Positive organizational behavior</w:t>
      </w:r>
      <w:r w:rsidRPr="00882BE9">
        <w:t xml:space="preserve"> (pp. 40-53). London, England: Sage. </w:t>
      </w:r>
    </w:p>
    <w:p w14:paraId="59A17121" w14:textId="77777777" w:rsidR="003E5B95" w:rsidRPr="00882BE9" w:rsidRDefault="003E5B95" w:rsidP="003E5B95">
      <w:pPr>
        <w:pStyle w:val="EndNoteBibliography"/>
        <w:spacing w:after="240"/>
        <w:ind w:left="720" w:hanging="720"/>
      </w:pPr>
      <w:r w:rsidRPr="00882BE9">
        <w:t xml:space="preserve">Smith, W. P., &amp; Tabak, F. (2009). Monitoring employee e-mails: is there any room for privacy? </w:t>
      </w:r>
      <w:r w:rsidRPr="00882BE9">
        <w:rPr>
          <w:i/>
        </w:rPr>
        <w:t>Academy of Management Perspectives</w:t>
      </w:r>
      <w:r w:rsidRPr="00882BE9">
        <w:t>,</w:t>
      </w:r>
      <w:r w:rsidRPr="00882BE9">
        <w:rPr>
          <w:i/>
        </w:rPr>
        <w:t xml:space="preserve"> 23</w:t>
      </w:r>
      <w:r w:rsidRPr="00882BE9">
        <w:t xml:space="preserve">(4), 33-48. </w:t>
      </w:r>
    </w:p>
    <w:p w14:paraId="217DE232" w14:textId="77777777" w:rsidR="003E5B95" w:rsidRPr="00882BE9" w:rsidRDefault="003E5B95" w:rsidP="003E5B95">
      <w:pPr>
        <w:pStyle w:val="EndNoteBibliography"/>
        <w:spacing w:after="240"/>
        <w:ind w:left="720" w:hanging="720"/>
      </w:pPr>
      <w:r w:rsidRPr="00882BE9">
        <w:t xml:space="preserve">Soto, C. J., &amp; John, O. P. (2017). The next Big Five Inventory (BFI-2): Developing and assessing a hierarchical model with 15 facets to enhance bandwidth, fidelity, and predictive power. </w:t>
      </w:r>
      <w:r w:rsidRPr="00882BE9">
        <w:rPr>
          <w:i/>
        </w:rPr>
        <w:t>Journal of Personality and Social Psychology</w:t>
      </w:r>
      <w:r w:rsidRPr="00882BE9">
        <w:t>,</w:t>
      </w:r>
      <w:r w:rsidRPr="00882BE9">
        <w:rPr>
          <w:i/>
        </w:rPr>
        <w:t xml:space="preserve"> 113</w:t>
      </w:r>
      <w:r w:rsidRPr="00882BE9">
        <w:t xml:space="preserve">(1), 117-143. </w:t>
      </w:r>
    </w:p>
    <w:p w14:paraId="755B5E85" w14:textId="373E1D28" w:rsidR="003E5B95" w:rsidRPr="00882BE9" w:rsidRDefault="003E5B95" w:rsidP="003E5B95">
      <w:pPr>
        <w:pStyle w:val="EndNoteBibliography"/>
        <w:spacing w:after="240"/>
        <w:ind w:left="720" w:hanging="720"/>
      </w:pPr>
      <w:r w:rsidRPr="00882BE9">
        <w:t xml:space="preserve">Spencer, L., &amp; Ritchie, J. (2002). Qualitative data analysis for applied policy research. In A. Bryman &amp; R. G. Burgess (Eds.), </w:t>
      </w:r>
      <w:r w:rsidRPr="00882BE9">
        <w:rPr>
          <w:i/>
        </w:rPr>
        <w:t>Analyzing Qualitative Data</w:t>
      </w:r>
      <w:r w:rsidRPr="00882BE9">
        <w:t xml:space="preserve"> (pp. 187-208). </w:t>
      </w:r>
      <w:r w:rsidR="00B46A8E">
        <w:t xml:space="preserve">New York: </w:t>
      </w:r>
      <w:r w:rsidRPr="00882BE9">
        <w:t>Routledge.</w:t>
      </w:r>
    </w:p>
    <w:p w14:paraId="4D4603A9" w14:textId="77777777" w:rsidR="003E5B95" w:rsidRPr="00882BE9" w:rsidRDefault="003E5B95" w:rsidP="003E5B95">
      <w:pPr>
        <w:pStyle w:val="EndNoteBibliography"/>
        <w:spacing w:after="240"/>
        <w:ind w:left="720" w:hanging="720"/>
      </w:pPr>
      <w:r w:rsidRPr="00882BE9">
        <w:t xml:space="preserve">Spitzmüller, C., &amp; Stanton, J. M. (2006). Examining employee compliance with organizational surveillance and monitoring. </w:t>
      </w:r>
      <w:r w:rsidRPr="00882BE9">
        <w:rPr>
          <w:i/>
        </w:rPr>
        <w:t>Journal of occupational organizational psychology</w:t>
      </w:r>
      <w:r w:rsidRPr="00882BE9">
        <w:t>,</w:t>
      </w:r>
      <w:r w:rsidRPr="00882BE9">
        <w:rPr>
          <w:i/>
        </w:rPr>
        <w:t xml:space="preserve"> 79</w:t>
      </w:r>
      <w:r w:rsidRPr="00882BE9">
        <w:t xml:space="preserve">(2), 245-272. </w:t>
      </w:r>
    </w:p>
    <w:p w14:paraId="1207413D" w14:textId="77777777" w:rsidR="003E5B95" w:rsidRPr="00882BE9" w:rsidRDefault="003E5B95" w:rsidP="003E5B95">
      <w:pPr>
        <w:pStyle w:val="EndNoteBibliography"/>
        <w:spacing w:after="240"/>
        <w:ind w:left="720" w:hanging="720"/>
      </w:pPr>
      <w:r w:rsidRPr="00882BE9">
        <w:t xml:space="preserve">Srivastava, S. C., Chandra, S., &amp; Shirish, A. (2015). Technostress creators and job outcomes: theorising the moderating influence of personality traits. </w:t>
      </w:r>
      <w:r w:rsidRPr="00882BE9">
        <w:rPr>
          <w:i/>
        </w:rPr>
        <w:t>Information Systems Journal</w:t>
      </w:r>
      <w:r w:rsidRPr="00882BE9">
        <w:t>,</w:t>
      </w:r>
      <w:r w:rsidRPr="00882BE9">
        <w:rPr>
          <w:i/>
        </w:rPr>
        <w:t xml:space="preserve"> 25</w:t>
      </w:r>
      <w:r w:rsidRPr="00882BE9">
        <w:t xml:space="preserve">(4), 355-401. </w:t>
      </w:r>
    </w:p>
    <w:p w14:paraId="3B5E88A4" w14:textId="77777777" w:rsidR="003E5B95" w:rsidRPr="00882BE9" w:rsidRDefault="003E5B95" w:rsidP="003E5B95">
      <w:pPr>
        <w:pStyle w:val="EndNoteBibliography"/>
        <w:spacing w:after="240"/>
        <w:ind w:left="720" w:hanging="720"/>
      </w:pPr>
      <w:r w:rsidRPr="00882BE9">
        <w:lastRenderedPageBreak/>
        <w:t xml:space="preserve">Stanton, J. M. (2000). Reactions to employee performance monitoring: Framework, review, and research directions. </w:t>
      </w:r>
      <w:r w:rsidRPr="00882BE9">
        <w:rPr>
          <w:i/>
        </w:rPr>
        <w:t>Human Performance</w:t>
      </w:r>
      <w:r w:rsidRPr="00882BE9">
        <w:t>,</w:t>
      </w:r>
      <w:r w:rsidRPr="00882BE9">
        <w:rPr>
          <w:i/>
        </w:rPr>
        <w:t xml:space="preserve"> 13</w:t>
      </w:r>
      <w:r w:rsidRPr="00882BE9">
        <w:t xml:space="preserve">(1), 85-113. </w:t>
      </w:r>
    </w:p>
    <w:p w14:paraId="34ACE05C" w14:textId="77777777" w:rsidR="003E5B95" w:rsidRPr="00882BE9" w:rsidRDefault="003E5B95" w:rsidP="003E5B95">
      <w:pPr>
        <w:pStyle w:val="EndNoteBibliography"/>
        <w:spacing w:after="240"/>
        <w:ind w:left="720" w:hanging="720"/>
      </w:pPr>
      <w:r w:rsidRPr="00882BE9">
        <w:t xml:space="preserve">Stanton, J. M., &amp; Stam, K. R. (2006). </w:t>
      </w:r>
      <w:r w:rsidRPr="00882BE9">
        <w:rPr>
          <w:i/>
        </w:rPr>
        <w:t>The visible employee: using workplace monitoring and surveillance to protect information assets­-without compromising employee privacy or trust</w:t>
      </w:r>
      <w:r w:rsidRPr="00882BE9">
        <w:t xml:space="preserve">. Information Today, Inc. </w:t>
      </w:r>
    </w:p>
    <w:p w14:paraId="6727E8A9" w14:textId="77777777" w:rsidR="003E5B95" w:rsidRPr="00882BE9" w:rsidRDefault="003E5B95" w:rsidP="003E5B95">
      <w:pPr>
        <w:pStyle w:val="EndNoteBibliography"/>
        <w:spacing w:after="240"/>
        <w:ind w:left="720" w:hanging="720"/>
      </w:pPr>
      <w:r w:rsidRPr="00882BE9">
        <w:t xml:space="preserve">Tarafdar, M., Cooper, C. L., &amp; Stich, J. F. (2017). The technostress trifecta‐techno eustress, techno distress and design: Theoretical directions and an agenda for research. </w:t>
      </w:r>
      <w:r w:rsidRPr="00882BE9">
        <w:rPr>
          <w:i/>
        </w:rPr>
        <w:t>Information Systems Journal</w:t>
      </w:r>
      <w:r w:rsidRPr="00882BE9">
        <w:t>,</w:t>
      </w:r>
      <w:r w:rsidRPr="00882BE9">
        <w:rPr>
          <w:i/>
        </w:rPr>
        <w:t xml:space="preserve"> 29</w:t>
      </w:r>
      <w:r w:rsidRPr="00882BE9">
        <w:t xml:space="preserve">(1), 6-42. </w:t>
      </w:r>
    </w:p>
    <w:p w14:paraId="011580ED" w14:textId="77777777" w:rsidR="003E5B95" w:rsidRPr="00882BE9" w:rsidRDefault="003E5B95" w:rsidP="003E5B95">
      <w:pPr>
        <w:pStyle w:val="EndNoteBibliography"/>
        <w:spacing w:after="240"/>
        <w:ind w:left="720" w:hanging="720"/>
      </w:pPr>
      <w:r w:rsidRPr="00882BE9">
        <w:t xml:space="preserve">Tarafdar, M., Pullins, E. B., &amp; Ragu‐Nathan, T. (2015). Technostress: negative effect on performance and possible mitigations. </w:t>
      </w:r>
      <w:r w:rsidRPr="00882BE9">
        <w:rPr>
          <w:i/>
        </w:rPr>
        <w:t>Information Systems Journal 25</w:t>
      </w:r>
      <w:r w:rsidRPr="00882BE9">
        <w:t xml:space="preserve">(2), 103-132. </w:t>
      </w:r>
    </w:p>
    <w:p w14:paraId="30FFBC4C" w14:textId="7B1A968C" w:rsidR="003E5B95" w:rsidRPr="00882BE9" w:rsidRDefault="003E5B95" w:rsidP="003E5B95">
      <w:pPr>
        <w:pStyle w:val="EndNoteBibliography"/>
        <w:spacing w:after="240"/>
        <w:ind w:left="720" w:hanging="720"/>
      </w:pPr>
      <w:r w:rsidRPr="00882BE9">
        <w:t xml:space="preserve">Tashakkori, A., Teddlie, C., &amp; Teddlie, C. B. (1998). </w:t>
      </w:r>
      <w:r w:rsidRPr="00882BE9">
        <w:rPr>
          <w:i/>
        </w:rPr>
        <w:t>Mixed methodology: combining qualitative and quantitative approaches</w:t>
      </w:r>
      <w:r w:rsidRPr="00882BE9">
        <w:t xml:space="preserve"> (Vol. 46). </w:t>
      </w:r>
      <w:r w:rsidR="00661DFC" w:rsidRPr="0001200D">
        <w:t>Thousand Oaks, CA: Sage</w:t>
      </w:r>
    </w:p>
    <w:p w14:paraId="5DE76BED" w14:textId="3452AC0B" w:rsidR="003E5B95" w:rsidRPr="00882BE9" w:rsidRDefault="003E5B95" w:rsidP="003E5B95">
      <w:pPr>
        <w:pStyle w:val="EndNoteBibliography"/>
        <w:spacing w:after="240"/>
        <w:ind w:left="720" w:hanging="720"/>
      </w:pPr>
      <w:r w:rsidRPr="00882BE9">
        <w:t xml:space="preserve">Teddlie, C., &amp; Tashakkori, A. (2009). </w:t>
      </w:r>
      <w:r w:rsidRPr="00882BE9">
        <w:rPr>
          <w:i/>
        </w:rPr>
        <w:t>Foundations of mixed methods research: Integrating quantitative and qualitative approaches in the social and behavioral sciences</w:t>
      </w:r>
      <w:r w:rsidRPr="00882BE9">
        <w:t xml:space="preserve">. </w:t>
      </w:r>
      <w:r w:rsidR="00661DFC" w:rsidRPr="0001200D">
        <w:t>Thousand Oaks, CA: Sage</w:t>
      </w:r>
    </w:p>
    <w:p w14:paraId="122450E8" w14:textId="77777777" w:rsidR="003E5B95" w:rsidRPr="00882BE9" w:rsidRDefault="003E5B95" w:rsidP="003E5B95">
      <w:pPr>
        <w:pStyle w:val="EndNoteBibliography"/>
        <w:spacing w:after="240"/>
        <w:ind w:left="720" w:hanging="720"/>
      </w:pPr>
      <w:r w:rsidRPr="00882BE9">
        <w:t xml:space="preserve">Van de Ven, A. H., &amp; Huber, G. P. (1990). Longitudinal field research methods for studying processes of organizational change. </w:t>
      </w:r>
      <w:r w:rsidRPr="00882BE9">
        <w:rPr>
          <w:i/>
        </w:rPr>
        <w:t>Organization Science</w:t>
      </w:r>
      <w:r w:rsidRPr="00882BE9">
        <w:t>,</w:t>
      </w:r>
      <w:r w:rsidRPr="00882BE9">
        <w:rPr>
          <w:i/>
        </w:rPr>
        <w:t xml:space="preserve"> 1</w:t>
      </w:r>
      <w:r w:rsidRPr="00882BE9">
        <w:t xml:space="preserve">(3), 213-219. </w:t>
      </w:r>
    </w:p>
    <w:p w14:paraId="1640A25C" w14:textId="77777777" w:rsidR="003E5B95" w:rsidRPr="00882BE9" w:rsidRDefault="003E5B95" w:rsidP="003E5B95">
      <w:pPr>
        <w:pStyle w:val="EndNoteBibliography"/>
        <w:spacing w:after="240"/>
        <w:ind w:left="720" w:hanging="720"/>
      </w:pPr>
      <w:r w:rsidRPr="00882BE9">
        <w:t xml:space="preserve">Venkatesh, V., Brown, S. A., &amp; Bala, H. (2013). Bridging the qualitative-quantitative divide: Guidelines for conducting mixed methods research in information systems. </w:t>
      </w:r>
      <w:r w:rsidRPr="00882BE9">
        <w:rPr>
          <w:i/>
        </w:rPr>
        <w:t>MIS Quarterly</w:t>
      </w:r>
      <w:r w:rsidRPr="00882BE9">
        <w:t>,</w:t>
      </w:r>
      <w:r w:rsidRPr="00882BE9">
        <w:rPr>
          <w:i/>
        </w:rPr>
        <w:t xml:space="preserve"> 37</w:t>
      </w:r>
      <w:r w:rsidRPr="00882BE9">
        <w:t xml:space="preserve">(1), 21-54. </w:t>
      </w:r>
    </w:p>
    <w:p w14:paraId="48A1613D" w14:textId="77777777" w:rsidR="003E5B95" w:rsidRPr="00882BE9" w:rsidRDefault="003E5B95" w:rsidP="003E5B95">
      <w:pPr>
        <w:pStyle w:val="EndNoteBibliography"/>
        <w:spacing w:after="240"/>
        <w:ind w:left="720" w:hanging="720"/>
      </w:pPr>
      <w:r w:rsidRPr="00882BE9">
        <w:t xml:space="preserve">Venkatesh, V., Brown, S. A., &amp; Sullivan, Y. W. (2016). Guidelines for conducting mixed-methods research: An extension and illustration. </w:t>
      </w:r>
      <w:r w:rsidRPr="00882BE9">
        <w:rPr>
          <w:i/>
        </w:rPr>
        <w:t>Journal of the Association for Information Systems</w:t>
      </w:r>
      <w:r w:rsidRPr="00882BE9">
        <w:t>,</w:t>
      </w:r>
      <w:r w:rsidRPr="00882BE9">
        <w:rPr>
          <w:i/>
        </w:rPr>
        <w:t xml:space="preserve"> 17</w:t>
      </w:r>
      <w:r w:rsidRPr="00882BE9">
        <w:t xml:space="preserve">(7), 435-494. </w:t>
      </w:r>
    </w:p>
    <w:p w14:paraId="721C3560" w14:textId="77777777" w:rsidR="003E5B95" w:rsidRPr="00882BE9" w:rsidRDefault="003E5B95" w:rsidP="003E5B95">
      <w:pPr>
        <w:pStyle w:val="EndNoteBibliography"/>
        <w:spacing w:after="240"/>
        <w:ind w:left="720" w:hanging="720"/>
      </w:pPr>
      <w:r w:rsidRPr="00882BE9">
        <w:t xml:space="preserve">Webster, J. R., Beehr, T. A., &amp; Love, K. (2011). Extending the challenge-hindrance model of occupational stress: The role of appraisal. </w:t>
      </w:r>
      <w:r w:rsidRPr="00882BE9">
        <w:rPr>
          <w:i/>
        </w:rPr>
        <w:t>Journal of Vocational Behavior</w:t>
      </w:r>
      <w:r w:rsidRPr="00882BE9">
        <w:t>,</w:t>
      </w:r>
      <w:r w:rsidRPr="00882BE9">
        <w:rPr>
          <w:i/>
        </w:rPr>
        <w:t xml:space="preserve"> 79</w:t>
      </w:r>
      <w:r w:rsidRPr="00882BE9">
        <w:t xml:space="preserve">(2), 505-516. </w:t>
      </w:r>
      <w:r w:rsidRPr="00EC5759">
        <w:t>https://doi.org/https://doi.org/10.1016/j.jvb.2011.02.001</w:t>
      </w:r>
      <w:r w:rsidRPr="00882BE9">
        <w:t xml:space="preserve"> </w:t>
      </w:r>
    </w:p>
    <w:p w14:paraId="3F38AA5F" w14:textId="77777777" w:rsidR="003E5B95" w:rsidRPr="00882BE9" w:rsidRDefault="003E5B95" w:rsidP="003E5B95">
      <w:pPr>
        <w:pStyle w:val="EndNoteBibliography"/>
        <w:spacing w:after="240"/>
        <w:ind w:left="720" w:hanging="720"/>
      </w:pPr>
      <w:r w:rsidRPr="00882BE9">
        <w:t xml:space="preserve">Wen, H. J., Schwieger, D., &amp; Gershuny, P. (2007). Internet usage monitoring in the workplace: Its legal challenges and implementation strategies. </w:t>
      </w:r>
      <w:r w:rsidRPr="00882BE9">
        <w:rPr>
          <w:i/>
        </w:rPr>
        <w:t>Information Systems Management</w:t>
      </w:r>
      <w:r w:rsidRPr="00882BE9">
        <w:t>,</w:t>
      </w:r>
      <w:r w:rsidRPr="00882BE9">
        <w:rPr>
          <w:i/>
        </w:rPr>
        <w:t xml:space="preserve"> 24</w:t>
      </w:r>
      <w:r w:rsidRPr="00882BE9">
        <w:t xml:space="preserve">(2), 185-196. </w:t>
      </w:r>
    </w:p>
    <w:p w14:paraId="7BECDA25" w14:textId="77777777" w:rsidR="003E5B95" w:rsidRPr="00882BE9" w:rsidRDefault="003E5B95" w:rsidP="003E5B95">
      <w:pPr>
        <w:pStyle w:val="EndNoteBibliography"/>
        <w:spacing w:after="240"/>
        <w:ind w:left="720" w:hanging="720"/>
      </w:pPr>
      <w:r w:rsidRPr="00882BE9">
        <w:t xml:space="preserve">Williams, L. J., Cote, J. A., &amp; Buckley, M. R. (1989). Lack of method variance in self-reported affect and perceptions at work: reality or artifact? </w:t>
      </w:r>
      <w:r w:rsidRPr="00882BE9">
        <w:rPr>
          <w:i/>
        </w:rPr>
        <w:t>Journal of Applied Psychology</w:t>
      </w:r>
      <w:r w:rsidRPr="00882BE9">
        <w:t>,</w:t>
      </w:r>
      <w:r w:rsidRPr="00882BE9">
        <w:rPr>
          <w:i/>
        </w:rPr>
        <w:t xml:space="preserve"> 74</w:t>
      </w:r>
      <w:r w:rsidRPr="00882BE9">
        <w:t xml:space="preserve">(3), 462-468. </w:t>
      </w:r>
    </w:p>
    <w:p w14:paraId="4879C343" w14:textId="77777777" w:rsidR="003E5B95" w:rsidRPr="00882BE9" w:rsidRDefault="003E5B95" w:rsidP="003E5B95">
      <w:pPr>
        <w:pStyle w:val="EndNoteBibliography"/>
        <w:spacing w:after="240"/>
        <w:ind w:left="720" w:hanging="720"/>
      </w:pPr>
      <w:r w:rsidRPr="00882BE9">
        <w:t xml:space="preserve">Wolff, J. (2019, 12/23/2019). </w:t>
      </w:r>
      <w:r w:rsidRPr="00882BE9">
        <w:rPr>
          <w:i/>
        </w:rPr>
        <w:t>Cybersecurity Experts Are Leaving the Federal Government. That's a Problem</w:t>
      </w:r>
      <w:r w:rsidRPr="00882BE9">
        <w:t xml:space="preserve">. Retrieved 5 March, 2020 from </w:t>
      </w:r>
      <w:r w:rsidRPr="00EC5759">
        <w:t>https://link.gale.com/apps/doc/A609461957/GIC?u=tusc49521&amp;sid=GIC&amp;xid=fb0172e3</w:t>
      </w:r>
    </w:p>
    <w:p w14:paraId="0244CB11" w14:textId="77777777" w:rsidR="003E5B95" w:rsidRPr="00882BE9" w:rsidRDefault="003E5B95" w:rsidP="003E5B95">
      <w:pPr>
        <w:pStyle w:val="EndNoteBibliography"/>
        <w:spacing w:after="240"/>
        <w:ind w:left="720" w:hanging="720"/>
      </w:pPr>
      <w:r w:rsidRPr="00882BE9">
        <w:lastRenderedPageBreak/>
        <w:t xml:space="preserve">Workman, M. (2009). A field study of corporate employee monitoring: Attitudes, absenteeism, and the moderating influences of procedural justice perceptions. </w:t>
      </w:r>
      <w:r w:rsidRPr="00882BE9">
        <w:rPr>
          <w:i/>
        </w:rPr>
        <w:t>Information and Organization</w:t>
      </w:r>
      <w:r w:rsidRPr="00882BE9">
        <w:t>,</w:t>
      </w:r>
      <w:r w:rsidRPr="00882BE9">
        <w:rPr>
          <w:i/>
        </w:rPr>
        <w:t xml:space="preserve"> 19</w:t>
      </w:r>
      <w:r w:rsidRPr="00882BE9">
        <w:t xml:space="preserve">(4), 218-232. </w:t>
      </w:r>
    </w:p>
    <w:p w14:paraId="242F09F8" w14:textId="77777777" w:rsidR="003E5B95" w:rsidRPr="00882BE9" w:rsidRDefault="003E5B95" w:rsidP="003E5B95">
      <w:pPr>
        <w:pStyle w:val="EndNoteBibliography"/>
        <w:spacing w:after="240"/>
        <w:ind w:left="720" w:hanging="720"/>
      </w:pPr>
      <w:r w:rsidRPr="00882BE9">
        <w:t xml:space="preserve">Zhao, K., &amp; Xia, M. (2014). Forming interoperability through interorganizational systems standards. </w:t>
      </w:r>
      <w:r w:rsidRPr="00882BE9">
        <w:rPr>
          <w:i/>
        </w:rPr>
        <w:t>Journal of Management Information Systems</w:t>
      </w:r>
      <w:r w:rsidRPr="00882BE9">
        <w:t>,</w:t>
      </w:r>
      <w:r w:rsidRPr="00882BE9">
        <w:rPr>
          <w:i/>
        </w:rPr>
        <w:t xml:space="preserve"> 30</w:t>
      </w:r>
      <w:r w:rsidRPr="00882BE9">
        <w:t xml:space="preserve">(4), 269-298. </w:t>
      </w:r>
    </w:p>
    <w:p w14:paraId="3B9E2AD1" w14:textId="77777777" w:rsidR="003E5B95" w:rsidRDefault="003E5B95" w:rsidP="003E5B95">
      <w:pPr>
        <w:pStyle w:val="EndNoteBibliography"/>
        <w:ind w:left="720" w:hanging="720"/>
      </w:pPr>
      <w:r w:rsidRPr="00882BE9">
        <w:t xml:space="preserve">Zweig, D., &amp; Webster, J. (2002). Where is the line between benign and invasive? An examination of psychological barriers to the acceptance of awareness monitoring systems. </w:t>
      </w:r>
      <w:r w:rsidRPr="00882BE9">
        <w:rPr>
          <w:i/>
        </w:rPr>
        <w:t>Journal of Organizational Behavior</w:t>
      </w:r>
      <w:r w:rsidRPr="00882BE9">
        <w:t>,</w:t>
      </w:r>
      <w:r w:rsidRPr="00882BE9">
        <w:rPr>
          <w:i/>
        </w:rPr>
        <w:t xml:space="preserve"> 23</w:t>
      </w:r>
      <w:r w:rsidRPr="00882BE9">
        <w:t xml:space="preserve">(5), 605-633. </w:t>
      </w:r>
      <w:r w:rsidRPr="00EC5759">
        <w:t>https://doi.org/10.1002/job.157</w:t>
      </w:r>
      <w:r w:rsidRPr="00882BE9">
        <w:t xml:space="preserve"> </w:t>
      </w:r>
    </w:p>
    <w:p w14:paraId="3DDD557D" w14:textId="77777777" w:rsidR="003E5B95" w:rsidRDefault="003E5B95">
      <w:pPr>
        <w:spacing w:after="160" w:line="259" w:lineRule="auto"/>
        <w:ind w:firstLine="0"/>
        <w:contextualSpacing w:val="0"/>
        <w:rPr>
          <w:rFonts w:cs="Times New Roman"/>
          <w:noProof/>
          <w:kern w:val="0"/>
          <w:szCs w:val="22"/>
          <w:lang w:eastAsia="en-US"/>
        </w:rPr>
      </w:pPr>
      <w:r>
        <w:br w:type="page"/>
      </w:r>
    </w:p>
    <w:p w14:paraId="6F2573C6" w14:textId="77777777" w:rsidR="003E5B95" w:rsidRPr="00882BE9" w:rsidRDefault="003E5B95" w:rsidP="003E5B95">
      <w:pPr>
        <w:pStyle w:val="EndNoteBibliography"/>
      </w:pPr>
    </w:p>
    <w:p w14:paraId="0AD76B31" w14:textId="77777777" w:rsidR="003E5B95" w:rsidRPr="00AC29E4" w:rsidRDefault="003E5B95" w:rsidP="003E5B95">
      <w:pPr>
        <w:spacing w:line="240" w:lineRule="auto"/>
        <w:ind w:firstLine="0"/>
        <w:contextualSpacing w:val="0"/>
        <w:rPr>
          <w:rFonts w:cs="Times New Roman"/>
          <w:b/>
          <w:bCs/>
          <w:kern w:val="0"/>
          <w:szCs w:val="24"/>
          <w:lang w:eastAsia="en-US"/>
        </w:rPr>
      </w:pPr>
    </w:p>
    <w:p w14:paraId="0537FED0" w14:textId="77777777" w:rsidR="003E5B95" w:rsidRPr="004011E1" w:rsidRDefault="003E5B95" w:rsidP="003E5B95">
      <w:pPr>
        <w:pStyle w:val="Heading1"/>
        <w:rPr>
          <w:b/>
          <w:bCs/>
          <w:lang w:eastAsia="en-US"/>
        </w:rPr>
      </w:pPr>
      <w:bookmarkStart w:id="275" w:name="_Toc74087553"/>
      <w:bookmarkStart w:id="276" w:name="_Toc74258669"/>
      <w:r w:rsidRPr="004011E1">
        <w:rPr>
          <w:b/>
          <w:bCs/>
          <w:lang w:eastAsia="en-US"/>
        </w:rPr>
        <w:t>APPENDIX D: DEFINITIONS</w:t>
      </w:r>
      <w:bookmarkEnd w:id="275"/>
      <w:bookmarkEnd w:id="276"/>
    </w:p>
    <w:p w14:paraId="50371407" w14:textId="77777777" w:rsidR="003E5B95" w:rsidRDefault="003E5B95" w:rsidP="003E5B95">
      <w:pPr>
        <w:pStyle w:val="Caption"/>
        <w:keepNext/>
        <w:spacing w:line="480" w:lineRule="auto"/>
        <w:rPr>
          <w:sz w:val="24"/>
          <w:szCs w:val="24"/>
        </w:rPr>
      </w:pPr>
      <w:bookmarkStart w:id="277" w:name="_Toc73955264"/>
      <w:bookmarkStart w:id="278" w:name="_Toc74074425"/>
      <w:r w:rsidRPr="00E76F88">
        <w:rPr>
          <w:sz w:val="24"/>
          <w:szCs w:val="24"/>
        </w:rPr>
        <w:t xml:space="preserve">Table </w:t>
      </w:r>
      <w:r>
        <w:rPr>
          <w:sz w:val="24"/>
          <w:szCs w:val="24"/>
        </w:rPr>
        <w:t>D1</w:t>
      </w:r>
      <w:r w:rsidRPr="00E76F88">
        <w:rPr>
          <w:sz w:val="24"/>
          <w:szCs w:val="24"/>
        </w:rPr>
        <w:t xml:space="preserve"> </w:t>
      </w:r>
      <w:bookmarkStart w:id="279" w:name="_Toc73917984"/>
    </w:p>
    <w:p w14:paraId="6C083FA9" w14:textId="77777777" w:rsidR="003E5B95" w:rsidRPr="00E76F88" w:rsidRDefault="003E5B95" w:rsidP="003E5B95">
      <w:pPr>
        <w:pStyle w:val="Caption"/>
        <w:keepNext/>
        <w:spacing w:line="480" w:lineRule="auto"/>
        <w:rPr>
          <w:b w:val="0"/>
          <w:bCs/>
          <w:i/>
          <w:iCs w:val="0"/>
          <w:sz w:val="24"/>
          <w:szCs w:val="24"/>
        </w:rPr>
      </w:pPr>
      <w:r w:rsidRPr="00E76F88">
        <w:rPr>
          <w:b w:val="0"/>
          <w:bCs/>
          <w:i/>
          <w:iCs w:val="0"/>
          <w:sz w:val="24"/>
          <w:szCs w:val="24"/>
        </w:rPr>
        <w:t>Relevant Definitions of Constructs for Conceptual and Research Model</w:t>
      </w:r>
      <w:bookmarkEnd w:id="277"/>
      <w:bookmarkEnd w:id="278"/>
      <w:bookmarkEnd w:id="279"/>
    </w:p>
    <w:tbl>
      <w:tblPr>
        <w:tblStyle w:val="PlainTable4"/>
        <w:tblW w:w="5000" w:type="pct"/>
        <w:tblLook w:val="04A0" w:firstRow="1" w:lastRow="0" w:firstColumn="1" w:lastColumn="0" w:noHBand="0" w:noVBand="1"/>
      </w:tblPr>
      <w:tblGrid>
        <w:gridCol w:w="1977"/>
        <w:gridCol w:w="5223"/>
        <w:gridCol w:w="2160"/>
      </w:tblGrid>
      <w:tr w:rsidR="003E5B95" w:rsidRPr="00336B04" w14:paraId="00481749" w14:textId="77777777" w:rsidTr="00A84905">
        <w:trPr>
          <w:cnfStyle w:val="100000000000" w:firstRow="1" w:lastRow="0" w:firstColumn="0" w:lastColumn="0" w:oddVBand="0" w:evenVBand="0" w:oddHBand="0" w:evenHBand="0" w:firstRowFirstColumn="0" w:firstRowLastColumn="0" w:lastRowFirstColumn="0" w:lastRowLastColumn="0"/>
          <w:trHeight w:val="504"/>
          <w:tblHeader/>
        </w:trPr>
        <w:tc>
          <w:tcPr>
            <w:cnfStyle w:val="001000000000" w:firstRow="0" w:lastRow="0" w:firstColumn="1" w:lastColumn="0" w:oddVBand="0" w:evenVBand="0" w:oddHBand="0" w:evenHBand="0" w:firstRowFirstColumn="0" w:firstRowLastColumn="0" w:lastRowFirstColumn="0" w:lastRowLastColumn="0"/>
            <w:tcW w:w="1056" w:type="pct"/>
            <w:tcBorders>
              <w:top w:val="single" w:sz="4" w:space="0" w:color="auto"/>
              <w:bottom w:val="single" w:sz="4" w:space="0" w:color="auto"/>
              <w:right w:val="single" w:sz="4" w:space="0" w:color="auto"/>
            </w:tcBorders>
          </w:tcPr>
          <w:p w14:paraId="137F1E8C"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 xml:space="preserve">Constructs </w:t>
            </w:r>
          </w:p>
        </w:tc>
        <w:tc>
          <w:tcPr>
            <w:tcW w:w="2790" w:type="pct"/>
            <w:tcBorders>
              <w:top w:val="single" w:sz="4" w:space="0" w:color="auto"/>
              <w:left w:val="single" w:sz="4" w:space="0" w:color="auto"/>
              <w:bottom w:val="single" w:sz="4" w:space="0" w:color="auto"/>
            </w:tcBorders>
          </w:tcPr>
          <w:p w14:paraId="0EC3A6EC" w14:textId="77777777" w:rsidR="003E5B95" w:rsidRPr="00336B04"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336B04">
              <w:rPr>
                <w:rFonts w:cs="Times New Roman"/>
                <w:b w:val="0"/>
                <w:bCs w:val="0"/>
                <w:kern w:val="0"/>
                <w:szCs w:val="24"/>
                <w:lang w:eastAsia="en-US"/>
              </w:rPr>
              <w:t>Definition</w:t>
            </w:r>
          </w:p>
        </w:tc>
        <w:tc>
          <w:tcPr>
            <w:tcW w:w="1154" w:type="pct"/>
            <w:tcBorders>
              <w:top w:val="single" w:sz="4" w:space="0" w:color="auto"/>
              <w:bottom w:val="single" w:sz="4" w:space="0" w:color="auto"/>
            </w:tcBorders>
          </w:tcPr>
          <w:p w14:paraId="02E758D8" w14:textId="77777777" w:rsidR="003E5B95" w:rsidRPr="00336B04"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336B04">
              <w:rPr>
                <w:rFonts w:cs="Times New Roman"/>
                <w:b w:val="0"/>
                <w:bCs w:val="0"/>
                <w:kern w:val="0"/>
                <w:szCs w:val="24"/>
                <w:lang w:eastAsia="en-US"/>
              </w:rPr>
              <w:t>Adapted from</w:t>
            </w:r>
          </w:p>
        </w:tc>
      </w:tr>
      <w:tr w:rsidR="003E5B95" w:rsidRPr="00336B04" w14:paraId="107C05AA"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top w:val="single" w:sz="4" w:space="0" w:color="auto"/>
              <w:right w:val="single" w:sz="4" w:space="0" w:color="auto"/>
            </w:tcBorders>
          </w:tcPr>
          <w:p w14:paraId="68B20391"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 xml:space="preserve">Demands </w:t>
            </w:r>
          </w:p>
        </w:tc>
        <w:tc>
          <w:tcPr>
            <w:tcW w:w="2790" w:type="pct"/>
            <w:tcBorders>
              <w:top w:val="single" w:sz="4" w:space="0" w:color="auto"/>
              <w:left w:val="single" w:sz="4" w:space="0" w:color="auto"/>
            </w:tcBorders>
          </w:tcPr>
          <w:p w14:paraId="103FBD6C"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The physical or psychological stimuli to which the individual responds. </w:t>
            </w:r>
          </w:p>
        </w:tc>
        <w:tc>
          <w:tcPr>
            <w:tcW w:w="1154" w:type="pct"/>
            <w:tcBorders>
              <w:top w:val="single" w:sz="4" w:space="0" w:color="auto"/>
            </w:tcBorders>
          </w:tcPr>
          <w:p w14:paraId="78528317"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(Simmons &amp; Nelson, 2007)</w:t>
            </w:r>
          </w:p>
        </w:tc>
      </w:tr>
      <w:tr w:rsidR="003E5B95" w:rsidRPr="00336B04" w14:paraId="58FADED6"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00F20B6D"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Relevance of Environmental Demands</w:t>
            </w:r>
          </w:p>
        </w:tc>
        <w:tc>
          <w:tcPr>
            <w:tcW w:w="2790" w:type="pct"/>
            <w:tcBorders>
              <w:left w:val="single" w:sz="4" w:space="0" w:color="auto"/>
            </w:tcBorders>
          </w:tcPr>
          <w:p w14:paraId="60ACFEB5"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The perceived importance of an environmental demand to one’s wellbeing at work. </w:t>
            </w:r>
          </w:p>
          <w:p w14:paraId="67B442BD"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154" w:type="pct"/>
          </w:tcPr>
          <w:p w14:paraId="097141ED"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(Lazarus &amp; Folkman, 1987)</w:t>
            </w:r>
          </w:p>
        </w:tc>
      </w:tr>
      <w:tr w:rsidR="003E5B95" w:rsidRPr="00336B04" w14:paraId="60964143"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2B43AB5C"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Usefulness of EMS</w:t>
            </w:r>
          </w:p>
        </w:tc>
        <w:tc>
          <w:tcPr>
            <w:tcW w:w="2790" w:type="pct"/>
            <w:tcBorders>
              <w:left w:val="single" w:sz="4" w:space="0" w:color="auto"/>
            </w:tcBorders>
          </w:tcPr>
          <w:p w14:paraId="5E11A650"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The degree to which characteristics of EMS technology enhances job performance. </w:t>
            </w:r>
          </w:p>
        </w:tc>
        <w:tc>
          <w:tcPr>
            <w:tcW w:w="1154" w:type="pct"/>
          </w:tcPr>
          <w:p w14:paraId="66262640"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(Ayyagari et al., 2011)</w:t>
            </w:r>
          </w:p>
        </w:tc>
      </w:tr>
      <w:tr w:rsidR="003E5B95" w:rsidRPr="00336B04" w14:paraId="44FE36EB"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7F528346"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Complexity of EMS</w:t>
            </w:r>
          </w:p>
        </w:tc>
        <w:tc>
          <w:tcPr>
            <w:tcW w:w="2790" w:type="pct"/>
            <w:tcBorders>
              <w:left w:val="single" w:sz="4" w:space="0" w:color="auto"/>
            </w:tcBorders>
          </w:tcPr>
          <w:p w14:paraId="1B830FC4"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The degree to which use of EMS is free of effort. </w:t>
            </w:r>
          </w:p>
        </w:tc>
        <w:tc>
          <w:tcPr>
            <w:tcW w:w="1154" w:type="pct"/>
          </w:tcPr>
          <w:p w14:paraId="0E008515"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(Ayyagari et al., 2011)</w:t>
            </w:r>
          </w:p>
        </w:tc>
      </w:tr>
      <w:tr w:rsidR="003E5B95" w:rsidRPr="00336B04" w14:paraId="7D1567D6"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678DA95D" w14:textId="3C1BBB69" w:rsidR="003E5B95" w:rsidRPr="00336B04" w:rsidRDefault="006C4B9C" w:rsidP="003E5B95">
            <w:pPr>
              <w:spacing w:line="240" w:lineRule="auto"/>
              <w:ind w:firstLine="0"/>
              <w:contextualSpacing w:val="0"/>
              <w:rPr>
                <w:rFonts w:cs="Times New Roman"/>
                <w:b w:val="0"/>
                <w:bCs w:val="0"/>
                <w:kern w:val="0"/>
                <w:szCs w:val="24"/>
                <w:lang w:eastAsia="en-US"/>
              </w:rPr>
            </w:pPr>
            <w:r>
              <w:rPr>
                <w:rFonts w:cs="Times New Roman"/>
                <w:b w:val="0"/>
                <w:bCs w:val="0"/>
                <w:kern w:val="0"/>
                <w:szCs w:val="24"/>
                <w:lang w:eastAsia="en-US"/>
              </w:rPr>
              <w:t xml:space="preserve">Rate of </w:t>
            </w:r>
            <w:r w:rsidR="003E5B95" w:rsidRPr="00336B04">
              <w:rPr>
                <w:rFonts w:cs="Times New Roman"/>
                <w:b w:val="0"/>
                <w:bCs w:val="0"/>
                <w:kern w:val="0"/>
                <w:szCs w:val="24"/>
                <w:lang w:eastAsia="en-US"/>
              </w:rPr>
              <w:t xml:space="preserve">False </w:t>
            </w:r>
            <w:r>
              <w:rPr>
                <w:rFonts w:cs="Times New Roman"/>
                <w:b w:val="0"/>
                <w:bCs w:val="0"/>
                <w:kern w:val="0"/>
                <w:szCs w:val="24"/>
                <w:lang w:eastAsia="en-US"/>
              </w:rPr>
              <w:t>Alarm</w:t>
            </w:r>
          </w:p>
        </w:tc>
        <w:tc>
          <w:tcPr>
            <w:tcW w:w="2790" w:type="pct"/>
            <w:tcBorders>
              <w:left w:val="single" w:sz="4" w:space="0" w:color="auto"/>
            </w:tcBorders>
          </w:tcPr>
          <w:p w14:paraId="40A74660"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The extent to which an EMS technology produces false positive errors (warning when no intrusion exists) and false negative errors (no warning when an intrusion exists).</w:t>
            </w:r>
          </w:p>
        </w:tc>
        <w:tc>
          <w:tcPr>
            <w:tcW w:w="1154" w:type="pct"/>
          </w:tcPr>
          <w:p w14:paraId="6C43B8CC"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(Cavusoglu et al., 2005)</w:t>
            </w:r>
          </w:p>
        </w:tc>
      </w:tr>
      <w:tr w:rsidR="003E5B95" w:rsidRPr="00336B04" w14:paraId="68B99121"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393D7527"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Interoperability</w:t>
            </w:r>
          </w:p>
        </w:tc>
        <w:tc>
          <w:tcPr>
            <w:tcW w:w="2790" w:type="pct"/>
            <w:tcBorders>
              <w:left w:val="single" w:sz="4" w:space="0" w:color="auto"/>
            </w:tcBorders>
          </w:tcPr>
          <w:p w14:paraId="05C42F1D" w14:textId="5FACE4F5"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Interoperability is defined as an EMS technology’s ability</w:t>
            </w:r>
            <w:r w:rsidR="00414885">
              <w:rPr>
                <w:rFonts w:cs="Times New Roman"/>
                <w:kern w:val="0"/>
                <w:szCs w:val="24"/>
                <w:lang w:eastAsia="en-US"/>
              </w:rPr>
              <w:t xml:space="preserve"> to</w:t>
            </w:r>
            <w:r w:rsidRPr="00336B04">
              <w:rPr>
                <w:rFonts w:cs="Times New Roman"/>
                <w:kern w:val="0"/>
                <w:szCs w:val="24"/>
                <w:lang w:eastAsia="en-US"/>
              </w:rPr>
              <w:t xml:space="preserve"> integrate with disparate information systems within an organization’s extended value network.  </w:t>
            </w:r>
          </w:p>
        </w:tc>
        <w:tc>
          <w:tcPr>
            <w:tcW w:w="1154" w:type="pct"/>
          </w:tcPr>
          <w:p w14:paraId="52502C1F"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Adapted from </w:t>
            </w:r>
            <w:r w:rsidRPr="00336B04">
              <w:rPr>
                <w:rFonts w:cs="Times New Roman"/>
                <w:noProof/>
                <w:kern w:val="0"/>
                <w:szCs w:val="24"/>
                <w:lang w:eastAsia="en-US"/>
              </w:rPr>
              <w:t>(Zhao &amp; Xia, 2014)</w:t>
            </w:r>
          </w:p>
        </w:tc>
      </w:tr>
      <w:tr w:rsidR="003E5B95" w:rsidRPr="00336B04" w14:paraId="3D409B8F"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32018019"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Security climate</w:t>
            </w:r>
          </w:p>
        </w:tc>
        <w:tc>
          <w:tcPr>
            <w:tcW w:w="2790" w:type="pct"/>
            <w:tcBorders>
              <w:left w:val="single" w:sz="4" w:space="0" w:color="auto"/>
            </w:tcBorders>
          </w:tcPr>
          <w:p w14:paraId="7E9C0224"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A collection of high-level shared values, beliefs, and assumptions in information security within an organization that enforces an unconscious, continuous, and habitual security behavior among employees.</w:t>
            </w:r>
          </w:p>
        </w:tc>
        <w:tc>
          <w:tcPr>
            <w:tcW w:w="1154" w:type="pct"/>
          </w:tcPr>
          <w:p w14:paraId="420B0EB9"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Adapted from </w:t>
            </w:r>
            <w:r w:rsidRPr="00336B04">
              <w:rPr>
                <w:rFonts w:cs="Times New Roman"/>
                <w:noProof/>
                <w:kern w:val="0"/>
                <w:szCs w:val="24"/>
                <w:lang w:eastAsia="en-US"/>
              </w:rPr>
              <w:t>(Chen et al., 2015)</w:t>
            </w:r>
          </w:p>
        </w:tc>
      </w:tr>
      <w:tr w:rsidR="003E5B95" w:rsidRPr="00336B04" w14:paraId="448D9705"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729C9A4F"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 xml:space="preserve">Primary Appraisal </w:t>
            </w:r>
          </w:p>
        </w:tc>
        <w:tc>
          <w:tcPr>
            <w:tcW w:w="2790" w:type="pct"/>
            <w:tcBorders>
              <w:left w:val="single" w:sz="4" w:space="0" w:color="auto"/>
            </w:tcBorders>
          </w:tcPr>
          <w:p w14:paraId="7CD8AEF9" w14:textId="7FA1649E"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Primary appraisal is a person’s realization that something is at stake i.e.</w:t>
            </w:r>
            <w:r w:rsidR="00414885">
              <w:rPr>
                <w:rFonts w:cs="Times New Roman"/>
                <w:kern w:val="0"/>
                <w:szCs w:val="24"/>
                <w:lang w:eastAsia="en-US"/>
              </w:rPr>
              <w:t>,</w:t>
            </w:r>
            <w:r w:rsidRPr="00336B04">
              <w:rPr>
                <w:rFonts w:cs="Times New Roman"/>
                <w:kern w:val="0"/>
                <w:szCs w:val="24"/>
                <w:lang w:eastAsia="en-US"/>
              </w:rPr>
              <w:t xml:space="preserve"> in this process</w:t>
            </w:r>
            <w:r w:rsidR="00414885">
              <w:rPr>
                <w:rFonts w:cs="Times New Roman"/>
                <w:kern w:val="0"/>
                <w:szCs w:val="24"/>
                <w:lang w:eastAsia="en-US"/>
              </w:rPr>
              <w:t>,</w:t>
            </w:r>
            <w:r w:rsidRPr="00336B04">
              <w:rPr>
                <w:rFonts w:cs="Times New Roman"/>
                <w:kern w:val="0"/>
                <w:szCs w:val="24"/>
                <w:lang w:eastAsia="en-US"/>
              </w:rPr>
              <w:t xml:space="preserve"> an individual establishes the relevance of the environmental event and gives it meaning. The meaning those best express this appraisal process involv</w:t>
            </w:r>
            <w:r w:rsidR="00797970">
              <w:rPr>
                <w:rFonts w:cs="Times New Roman"/>
                <w:kern w:val="0"/>
                <w:szCs w:val="24"/>
                <w:lang w:eastAsia="en-US"/>
              </w:rPr>
              <w:t>es</w:t>
            </w:r>
            <w:r w:rsidRPr="00336B04">
              <w:rPr>
                <w:rFonts w:cs="Times New Roman"/>
                <w:kern w:val="0"/>
                <w:szCs w:val="24"/>
                <w:lang w:eastAsia="en-US"/>
              </w:rPr>
              <w:t xml:space="preserve"> harm/loss, the threat of harm, or challenge. </w:t>
            </w:r>
          </w:p>
        </w:tc>
        <w:tc>
          <w:tcPr>
            <w:tcW w:w="1154" w:type="pct"/>
          </w:tcPr>
          <w:p w14:paraId="1FBD846A"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(Cooper et al., 2001; Lazarus &amp; Folkman, 1987)</w:t>
            </w:r>
          </w:p>
        </w:tc>
      </w:tr>
      <w:tr w:rsidR="003E5B95" w:rsidRPr="00336B04" w14:paraId="6938BBC9"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06E783B8"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 xml:space="preserve">Secondary Appraisal </w:t>
            </w:r>
          </w:p>
        </w:tc>
        <w:tc>
          <w:tcPr>
            <w:tcW w:w="2790" w:type="pct"/>
            <w:tcBorders>
              <w:left w:val="single" w:sz="4" w:space="0" w:color="auto"/>
            </w:tcBorders>
          </w:tcPr>
          <w:p w14:paraId="7AB4E8B5"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The secondary appraisal is a supplement process to the primary appraisal in which an individual evaluates the available coping options. In this process, an individual determines how much control they can exert over the outcomes.  </w:t>
            </w:r>
          </w:p>
        </w:tc>
        <w:tc>
          <w:tcPr>
            <w:tcW w:w="1154" w:type="pct"/>
          </w:tcPr>
          <w:p w14:paraId="095050CF"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(Lazarus &amp; Folkman, 1984; Lazarus &amp; Folkman, 1987)</w:t>
            </w:r>
          </w:p>
        </w:tc>
      </w:tr>
      <w:tr w:rsidR="003E5B95" w:rsidRPr="00336B04" w14:paraId="107D0B79"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4088FCC4"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lastRenderedPageBreak/>
              <w:t>Problem-Focused Savoring (PFS)</w:t>
            </w:r>
          </w:p>
        </w:tc>
        <w:tc>
          <w:tcPr>
            <w:tcW w:w="2790" w:type="pct"/>
            <w:tcBorders>
              <w:left w:val="single" w:sz="4" w:space="0" w:color="auto"/>
            </w:tcBorders>
          </w:tcPr>
          <w:p w14:paraId="6255B083"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A type of coping in which an individual tries to manage the stressful event itself. Here an individual’s efforts are directed towards dealing with the stressor either by adapting oneself to the work environment (e.g., altering or alleviating environmental pressure, constraints, obstacles or procedures-work adaptation) or changing oneself (e.g., finding new ways of gratification, learning new skills or procedures, changing the level aspiration, etc.), and adjusting the technology to one’s job needs. </w:t>
            </w:r>
          </w:p>
        </w:tc>
        <w:tc>
          <w:tcPr>
            <w:tcW w:w="1154" w:type="pct"/>
          </w:tcPr>
          <w:p w14:paraId="0C616C1B"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(Beaudry &amp; Pinsonneault, 2005; Fadel, 2012)</w:t>
            </w:r>
          </w:p>
        </w:tc>
      </w:tr>
      <w:tr w:rsidR="003E5B95" w:rsidRPr="00336B04" w14:paraId="5CCD8C00"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282DD542"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Emotion-Focused Coping (EFC)</w:t>
            </w:r>
          </w:p>
        </w:tc>
        <w:tc>
          <w:tcPr>
            <w:tcW w:w="2790" w:type="pct"/>
            <w:tcBorders>
              <w:left w:val="single" w:sz="4" w:space="0" w:color="auto"/>
            </w:tcBorders>
          </w:tcPr>
          <w:p w14:paraId="015B1694"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 xml:space="preserve">A type of coping in which an individual tries to control or pacify the emotions aroused by the stressful event or dismiss the emotional discomfort. </w:t>
            </w:r>
          </w:p>
        </w:tc>
        <w:tc>
          <w:tcPr>
            <w:tcW w:w="1154" w:type="pct"/>
          </w:tcPr>
          <w:p w14:paraId="1E7DD7D3"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(Liang et al., 2019)</w:t>
            </w:r>
          </w:p>
        </w:tc>
      </w:tr>
      <w:tr w:rsidR="003E5B95" w:rsidRPr="00336B04" w14:paraId="058C2BD9"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5480B2E1"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Challenge Stress</w:t>
            </w:r>
          </w:p>
        </w:tc>
        <w:tc>
          <w:tcPr>
            <w:tcW w:w="2790" w:type="pct"/>
            <w:tcBorders>
              <w:left w:val="single" w:sz="4" w:space="0" w:color="auto"/>
            </w:tcBorders>
          </w:tcPr>
          <w:p w14:paraId="685B3FD9"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szCs w:val="24"/>
              </w:rPr>
              <w:t xml:space="preserve">Challenge stress associates with the challenge stressors where workplace stressors or circumstances are appraised as promoting mastery, personal growth, or future gains. </w:t>
            </w:r>
          </w:p>
        </w:tc>
        <w:tc>
          <w:tcPr>
            <w:tcW w:w="1154" w:type="pct"/>
          </w:tcPr>
          <w:p w14:paraId="0FAD4712"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szCs w:val="24"/>
              </w:rPr>
              <w:t xml:space="preserve">(Cavanaugh et al. 2000; </w:t>
            </w:r>
            <w:proofErr w:type="spellStart"/>
            <w:r w:rsidRPr="00336B04">
              <w:rPr>
                <w:rFonts w:cs="Times New Roman"/>
                <w:szCs w:val="24"/>
              </w:rPr>
              <w:t>LePine</w:t>
            </w:r>
            <w:proofErr w:type="spellEnd"/>
            <w:r w:rsidRPr="00336B04">
              <w:rPr>
                <w:rFonts w:cs="Times New Roman"/>
                <w:szCs w:val="24"/>
              </w:rPr>
              <w:t xml:space="preserve"> et al. 2004)</w:t>
            </w:r>
          </w:p>
        </w:tc>
      </w:tr>
      <w:tr w:rsidR="003E5B95" w:rsidRPr="00336B04" w14:paraId="48A6E281" w14:textId="77777777" w:rsidTr="00A8490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1056" w:type="pct"/>
            <w:tcBorders>
              <w:right w:val="single" w:sz="4" w:space="0" w:color="auto"/>
            </w:tcBorders>
          </w:tcPr>
          <w:p w14:paraId="6D7AE10C"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Hindrance Stress</w:t>
            </w:r>
          </w:p>
        </w:tc>
        <w:tc>
          <w:tcPr>
            <w:tcW w:w="2790" w:type="pct"/>
            <w:tcBorders>
              <w:left w:val="single" w:sz="4" w:space="0" w:color="auto"/>
            </w:tcBorders>
          </w:tcPr>
          <w:p w14:paraId="1E187290"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szCs w:val="24"/>
              </w:rPr>
            </w:pPr>
            <w:r w:rsidRPr="00336B04">
              <w:rPr>
                <w:rFonts w:cs="Times New Roman"/>
                <w:szCs w:val="24"/>
              </w:rPr>
              <w:t xml:space="preserve">Hindrance stress is defined as the stress associated with job demands or work circumstances that involve excessive or undesirable constraints that interfere with or hinder one’s ability to achieve valued goals. </w:t>
            </w:r>
          </w:p>
        </w:tc>
        <w:tc>
          <w:tcPr>
            <w:tcW w:w="1154" w:type="pct"/>
          </w:tcPr>
          <w:p w14:paraId="2AEFB2B0" w14:textId="77777777" w:rsidR="003E5B95" w:rsidRPr="00336B04"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szCs w:val="24"/>
              </w:rPr>
            </w:pPr>
            <w:r w:rsidRPr="00336B04">
              <w:rPr>
                <w:rFonts w:cs="Times New Roman"/>
                <w:szCs w:val="24"/>
              </w:rPr>
              <w:t>(Cavanaugh et al. 2000)</w:t>
            </w:r>
          </w:p>
        </w:tc>
      </w:tr>
      <w:tr w:rsidR="003E5B95" w:rsidRPr="00336B04" w14:paraId="29EB07E4" w14:textId="77777777" w:rsidTr="00A84905">
        <w:trPr>
          <w:trHeight w:val="504"/>
        </w:trPr>
        <w:tc>
          <w:tcPr>
            <w:cnfStyle w:val="001000000000" w:firstRow="0" w:lastRow="0" w:firstColumn="1" w:lastColumn="0" w:oddVBand="0" w:evenVBand="0" w:oddHBand="0" w:evenHBand="0" w:firstRowFirstColumn="0" w:firstRowLastColumn="0" w:lastRowFirstColumn="0" w:lastRowLastColumn="0"/>
            <w:tcW w:w="1056" w:type="pct"/>
            <w:tcBorders>
              <w:bottom w:val="single" w:sz="4" w:space="0" w:color="auto"/>
              <w:right w:val="single" w:sz="4" w:space="0" w:color="auto"/>
            </w:tcBorders>
          </w:tcPr>
          <w:p w14:paraId="454C3D2A" w14:textId="77777777" w:rsidR="003E5B95" w:rsidRPr="00336B04" w:rsidRDefault="003E5B95" w:rsidP="003E5B95">
            <w:pPr>
              <w:spacing w:line="240" w:lineRule="auto"/>
              <w:ind w:firstLine="0"/>
              <w:contextualSpacing w:val="0"/>
              <w:rPr>
                <w:rFonts w:cs="Times New Roman"/>
                <w:b w:val="0"/>
                <w:bCs w:val="0"/>
                <w:kern w:val="0"/>
                <w:szCs w:val="24"/>
                <w:lang w:eastAsia="en-US"/>
              </w:rPr>
            </w:pPr>
            <w:r w:rsidRPr="00336B04">
              <w:rPr>
                <w:rFonts w:cs="Times New Roman"/>
                <w:b w:val="0"/>
                <w:bCs w:val="0"/>
                <w:kern w:val="0"/>
                <w:szCs w:val="24"/>
                <w:lang w:eastAsia="en-US"/>
              </w:rPr>
              <w:t>Transaction</w:t>
            </w:r>
          </w:p>
        </w:tc>
        <w:tc>
          <w:tcPr>
            <w:tcW w:w="2790" w:type="pct"/>
            <w:tcBorders>
              <w:left w:val="single" w:sz="4" w:space="0" w:color="auto"/>
              <w:bottom w:val="single" w:sz="4" w:space="0" w:color="auto"/>
            </w:tcBorders>
          </w:tcPr>
          <w:p w14:paraId="18D346FB"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kern w:val="0"/>
                <w:szCs w:val="24"/>
                <w:lang w:eastAsia="en-US"/>
              </w:rPr>
              <w:t>The term implies that stress is neither in the person nor in the environment but resides in the relationship between the two.</w:t>
            </w:r>
          </w:p>
        </w:tc>
        <w:tc>
          <w:tcPr>
            <w:tcW w:w="1154" w:type="pct"/>
            <w:tcBorders>
              <w:bottom w:val="single" w:sz="4" w:space="0" w:color="auto"/>
            </w:tcBorders>
          </w:tcPr>
          <w:p w14:paraId="7C56D309" w14:textId="77777777" w:rsidR="003E5B95" w:rsidRPr="00336B04"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336B04">
              <w:rPr>
                <w:rFonts w:cs="Times New Roman"/>
                <w:noProof/>
                <w:kern w:val="0"/>
                <w:szCs w:val="24"/>
                <w:lang w:eastAsia="en-US"/>
              </w:rPr>
              <w:t>(Lazarus &amp; Folkman, 1987)</w:t>
            </w:r>
          </w:p>
        </w:tc>
      </w:tr>
    </w:tbl>
    <w:p w14:paraId="389A86FA" w14:textId="77777777" w:rsidR="003E5B95" w:rsidRPr="00AC29E4" w:rsidRDefault="003E5B95" w:rsidP="003E5B95">
      <w:pPr>
        <w:spacing w:after="160" w:line="259" w:lineRule="auto"/>
        <w:ind w:firstLine="0"/>
        <w:contextualSpacing w:val="0"/>
        <w:rPr>
          <w:rFonts w:cs="Times New Roman"/>
          <w:b/>
          <w:bCs/>
          <w:color w:val="000000"/>
          <w:kern w:val="0"/>
          <w:szCs w:val="24"/>
          <w:lang w:eastAsia="en-US"/>
        </w:rPr>
      </w:pPr>
    </w:p>
    <w:p w14:paraId="1B38F3CC" w14:textId="77777777" w:rsidR="003E5B95" w:rsidRPr="00AC29E4" w:rsidRDefault="003E5B95" w:rsidP="003E5B95">
      <w:pPr>
        <w:spacing w:after="160" w:line="259" w:lineRule="auto"/>
        <w:ind w:firstLine="0"/>
        <w:contextualSpacing w:val="0"/>
        <w:rPr>
          <w:rFonts w:cs="Times New Roman"/>
          <w:b/>
          <w:bCs/>
          <w:color w:val="000000"/>
          <w:kern w:val="0"/>
          <w:szCs w:val="24"/>
          <w:lang w:eastAsia="en-US"/>
        </w:rPr>
      </w:pPr>
    </w:p>
    <w:p w14:paraId="72ED9DD1" w14:textId="77777777" w:rsidR="003E5B95" w:rsidRDefault="003E5B95" w:rsidP="003E5B95">
      <w:pPr>
        <w:spacing w:after="160" w:line="259" w:lineRule="auto"/>
        <w:ind w:firstLine="0"/>
        <w:contextualSpacing w:val="0"/>
        <w:rPr>
          <w:rFonts w:cs="Times New Roman"/>
          <w:b/>
          <w:bCs/>
          <w:color w:val="000000"/>
          <w:kern w:val="0"/>
          <w:szCs w:val="24"/>
          <w:lang w:eastAsia="en-US"/>
        </w:rPr>
      </w:pPr>
    </w:p>
    <w:p w14:paraId="20CC4A6C" w14:textId="77777777" w:rsidR="003E5B95" w:rsidRPr="00AC29E4" w:rsidRDefault="003E5B95" w:rsidP="003E5B95">
      <w:pPr>
        <w:spacing w:after="160" w:line="259" w:lineRule="auto"/>
        <w:ind w:firstLine="0"/>
        <w:contextualSpacing w:val="0"/>
        <w:rPr>
          <w:rFonts w:cs="Times New Roman"/>
          <w:b/>
          <w:bCs/>
          <w:color w:val="000000"/>
          <w:kern w:val="0"/>
          <w:szCs w:val="24"/>
          <w:lang w:eastAsia="en-US"/>
        </w:rPr>
        <w:sectPr w:rsidR="003E5B95" w:rsidRPr="00AC29E4" w:rsidSect="00DF56B1">
          <w:pgSz w:w="12240" w:h="15840"/>
          <w:pgMar w:top="1440" w:right="1440" w:bottom="1440" w:left="1440" w:header="720" w:footer="720" w:gutter="0"/>
          <w:cols w:space="720"/>
          <w:docGrid w:linePitch="360"/>
        </w:sectPr>
      </w:pPr>
    </w:p>
    <w:p w14:paraId="584FCF80" w14:textId="77777777" w:rsidR="003E5B95" w:rsidRPr="004011E1" w:rsidRDefault="003E5B95" w:rsidP="003E5B95">
      <w:pPr>
        <w:pStyle w:val="Heading1"/>
        <w:rPr>
          <w:b/>
          <w:bCs/>
          <w:lang w:eastAsia="en-US"/>
        </w:rPr>
      </w:pPr>
      <w:bookmarkStart w:id="280" w:name="_Toc74087554"/>
      <w:bookmarkStart w:id="281" w:name="_Toc74258670"/>
      <w:bookmarkStart w:id="282" w:name="_Hlk28677119"/>
      <w:r w:rsidRPr="004011E1">
        <w:rPr>
          <w:b/>
          <w:bCs/>
          <w:lang w:eastAsia="en-US"/>
        </w:rPr>
        <w:lastRenderedPageBreak/>
        <w:t>APPENDIX E: MIXED METHODS DESIGN</w:t>
      </w:r>
      <w:bookmarkEnd w:id="280"/>
      <w:bookmarkEnd w:id="281"/>
    </w:p>
    <w:p w14:paraId="13F0B9F4" w14:textId="2313A32C" w:rsidR="00336B04" w:rsidRPr="00336B04" w:rsidRDefault="003E5B95" w:rsidP="00336B04">
      <w:pPr>
        <w:pStyle w:val="Caption"/>
        <w:keepNext/>
        <w:spacing w:line="480" w:lineRule="auto"/>
        <w:rPr>
          <w:noProof/>
          <w:sz w:val="24"/>
          <w:szCs w:val="24"/>
        </w:rPr>
      </w:pPr>
      <w:bookmarkStart w:id="283" w:name="_Toc73955265"/>
      <w:bookmarkStart w:id="284" w:name="_Toc74074426"/>
      <w:r w:rsidRPr="00336B04">
        <w:rPr>
          <w:sz w:val="24"/>
          <w:szCs w:val="24"/>
        </w:rPr>
        <w:t xml:space="preserve">Table </w:t>
      </w:r>
      <w:r w:rsidR="00336B04">
        <w:rPr>
          <w:sz w:val="24"/>
          <w:szCs w:val="24"/>
        </w:rPr>
        <w:t>E1</w:t>
      </w:r>
    </w:p>
    <w:p w14:paraId="08D8392B" w14:textId="151A700E" w:rsidR="003E5B95" w:rsidRPr="00336B04" w:rsidRDefault="003E5B95" w:rsidP="00336B04">
      <w:pPr>
        <w:pStyle w:val="Caption"/>
        <w:keepNext/>
        <w:spacing w:line="480" w:lineRule="auto"/>
        <w:rPr>
          <w:b w:val="0"/>
          <w:bCs/>
          <w:i/>
          <w:iCs w:val="0"/>
          <w:sz w:val="24"/>
          <w:szCs w:val="24"/>
        </w:rPr>
      </w:pPr>
      <w:bookmarkStart w:id="285" w:name="_Toc73917985"/>
      <w:r w:rsidRPr="00336B04">
        <w:rPr>
          <w:b w:val="0"/>
          <w:bCs/>
          <w:i/>
          <w:iCs w:val="0"/>
          <w:sz w:val="24"/>
          <w:szCs w:val="24"/>
        </w:rPr>
        <w:t>Appropriateness for Mixed Methods Design (Venkatesh 201</w:t>
      </w:r>
      <w:bookmarkEnd w:id="283"/>
      <w:bookmarkEnd w:id="285"/>
      <w:r w:rsidRPr="00336B04">
        <w:rPr>
          <w:b w:val="0"/>
          <w:bCs/>
          <w:i/>
          <w:iCs w:val="0"/>
          <w:sz w:val="24"/>
          <w:szCs w:val="24"/>
        </w:rPr>
        <w:t>6)</w:t>
      </w:r>
      <w:bookmarkEnd w:id="284"/>
    </w:p>
    <w:tbl>
      <w:tblPr>
        <w:tblStyle w:val="PlainTable4"/>
        <w:tblW w:w="5000" w:type="pct"/>
        <w:tblLook w:val="04A0" w:firstRow="1" w:lastRow="0" w:firstColumn="1" w:lastColumn="0" w:noHBand="0" w:noVBand="1"/>
      </w:tblPr>
      <w:tblGrid>
        <w:gridCol w:w="1887"/>
        <w:gridCol w:w="1890"/>
        <w:gridCol w:w="2343"/>
        <w:gridCol w:w="1980"/>
        <w:gridCol w:w="4860"/>
      </w:tblGrid>
      <w:tr w:rsidR="003E5B95" w:rsidRPr="00AC29E4" w14:paraId="7000BF43" w14:textId="77777777" w:rsidTr="003E5B95">
        <w:trPr>
          <w:cnfStyle w:val="100000000000" w:firstRow="1" w:lastRow="0" w:firstColumn="0" w:lastColumn="0" w:oddVBand="0" w:evenVBand="0" w:oddHBand="0" w:evenHBand="0" w:firstRowFirstColumn="0" w:firstRowLastColumn="0" w:lastRowFirstColumn="0" w:lastRowLastColumn="0"/>
          <w:trHeight w:val="720"/>
          <w:tblHeader/>
        </w:trPr>
        <w:tc>
          <w:tcPr>
            <w:cnfStyle w:val="001000000000" w:firstRow="0" w:lastRow="0" w:firstColumn="1" w:lastColumn="0" w:oddVBand="0" w:evenVBand="0" w:oddHBand="0" w:evenHBand="0" w:firstRowFirstColumn="0" w:firstRowLastColumn="0" w:lastRowFirstColumn="0" w:lastRowLastColumn="0"/>
            <w:tcW w:w="728" w:type="pct"/>
            <w:tcBorders>
              <w:top w:val="single" w:sz="4" w:space="0" w:color="auto"/>
              <w:bottom w:val="single" w:sz="4" w:space="0" w:color="auto"/>
              <w:right w:val="single" w:sz="4" w:space="0" w:color="auto"/>
            </w:tcBorders>
          </w:tcPr>
          <w:p w14:paraId="6A15EE07" w14:textId="77777777" w:rsidR="003E5B95" w:rsidRPr="007D5BEC" w:rsidRDefault="003E5B95" w:rsidP="003E5B95">
            <w:pPr>
              <w:spacing w:line="240" w:lineRule="auto"/>
              <w:ind w:firstLine="0"/>
              <w:contextualSpacing w:val="0"/>
              <w:rPr>
                <w:rFonts w:cs="Times New Roman"/>
                <w:b w:val="0"/>
                <w:bCs w:val="0"/>
                <w:kern w:val="0"/>
                <w:szCs w:val="24"/>
                <w:lang w:eastAsia="en-US"/>
              </w:rPr>
            </w:pPr>
            <w:r w:rsidRPr="007D5BEC">
              <w:rPr>
                <w:rFonts w:cs="Times New Roman"/>
                <w:b w:val="0"/>
                <w:bCs w:val="0"/>
                <w:kern w:val="0"/>
                <w:szCs w:val="24"/>
                <w:lang w:eastAsia="en-US"/>
              </w:rPr>
              <w:t>Steps in mixed methods inquiry</w:t>
            </w:r>
          </w:p>
        </w:tc>
        <w:tc>
          <w:tcPr>
            <w:tcW w:w="729" w:type="pct"/>
            <w:tcBorders>
              <w:top w:val="single" w:sz="4" w:space="0" w:color="auto"/>
              <w:left w:val="single" w:sz="4" w:space="0" w:color="auto"/>
              <w:bottom w:val="single" w:sz="4" w:space="0" w:color="auto"/>
            </w:tcBorders>
          </w:tcPr>
          <w:p w14:paraId="6659605A" w14:textId="77777777" w:rsidR="003E5B95" w:rsidRPr="007D5BEC"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7D5BEC">
              <w:rPr>
                <w:rFonts w:cs="Times New Roman"/>
                <w:b w:val="0"/>
                <w:bCs w:val="0"/>
                <w:kern w:val="0"/>
                <w:szCs w:val="24"/>
                <w:lang w:eastAsia="en-US"/>
              </w:rPr>
              <w:t>Property</w:t>
            </w:r>
          </w:p>
        </w:tc>
        <w:tc>
          <w:tcPr>
            <w:tcW w:w="904" w:type="pct"/>
            <w:tcBorders>
              <w:top w:val="single" w:sz="4" w:space="0" w:color="auto"/>
              <w:bottom w:val="single" w:sz="4" w:space="0" w:color="auto"/>
            </w:tcBorders>
          </w:tcPr>
          <w:p w14:paraId="0DD2466C" w14:textId="77777777" w:rsidR="003E5B95" w:rsidRPr="007D5BEC"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7D5BEC">
              <w:rPr>
                <w:rFonts w:cs="Times New Roman"/>
                <w:b w:val="0"/>
                <w:bCs w:val="0"/>
                <w:kern w:val="0"/>
                <w:szCs w:val="24"/>
                <w:lang w:eastAsia="en-US"/>
              </w:rPr>
              <w:t xml:space="preserve">Decision Consideration </w:t>
            </w:r>
          </w:p>
        </w:tc>
        <w:tc>
          <w:tcPr>
            <w:tcW w:w="764" w:type="pct"/>
            <w:tcBorders>
              <w:top w:val="single" w:sz="4" w:space="0" w:color="auto"/>
              <w:bottom w:val="single" w:sz="4" w:space="0" w:color="auto"/>
            </w:tcBorders>
          </w:tcPr>
          <w:p w14:paraId="56E45C06" w14:textId="77777777" w:rsidR="003E5B95" w:rsidRPr="007D5BEC"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7D5BEC">
              <w:rPr>
                <w:rFonts w:cs="Times New Roman"/>
                <w:b w:val="0"/>
                <w:bCs w:val="0"/>
                <w:kern w:val="0"/>
                <w:szCs w:val="24"/>
                <w:lang w:eastAsia="en-US"/>
              </w:rPr>
              <w:t>Other design decision(s) likely to affect the current decision</w:t>
            </w:r>
          </w:p>
        </w:tc>
        <w:tc>
          <w:tcPr>
            <w:tcW w:w="1875" w:type="pct"/>
            <w:tcBorders>
              <w:top w:val="single" w:sz="4" w:space="0" w:color="auto"/>
              <w:bottom w:val="single" w:sz="4" w:space="0" w:color="auto"/>
            </w:tcBorders>
          </w:tcPr>
          <w:p w14:paraId="11AB3444" w14:textId="77777777" w:rsidR="003E5B95" w:rsidRPr="007D5BEC"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7D5BEC">
              <w:rPr>
                <w:rFonts w:cs="Times New Roman"/>
                <w:b w:val="0"/>
                <w:bCs w:val="0"/>
                <w:kern w:val="0"/>
                <w:szCs w:val="24"/>
                <w:lang w:eastAsia="en-US"/>
              </w:rPr>
              <w:t>Decision</w:t>
            </w:r>
          </w:p>
        </w:tc>
      </w:tr>
      <w:tr w:rsidR="003E5B95" w:rsidRPr="00AC29E4" w14:paraId="27C795C6"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top w:val="single" w:sz="4" w:space="0" w:color="auto"/>
              <w:right w:val="single" w:sz="4" w:space="0" w:color="auto"/>
            </w:tcBorders>
          </w:tcPr>
          <w:p w14:paraId="67B64DC5" w14:textId="77777777" w:rsidR="003E5B95" w:rsidRPr="007D5BEC" w:rsidRDefault="003E5B95" w:rsidP="003E5B95">
            <w:pPr>
              <w:spacing w:line="240" w:lineRule="auto"/>
              <w:ind w:firstLine="0"/>
              <w:contextualSpacing w:val="0"/>
              <w:rPr>
                <w:rFonts w:cs="Times New Roman"/>
                <w:b w:val="0"/>
                <w:bCs w:val="0"/>
                <w:kern w:val="0"/>
                <w:szCs w:val="24"/>
                <w:lang w:eastAsia="en-US"/>
              </w:rPr>
            </w:pPr>
            <w:r w:rsidRPr="007D5BEC">
              <w:rPr>
                <w:rFonts w:cs="Times New Roman"/>
                <w:b w:val="0"/>
                <w:bCs w:val="0"/>
                <w:kern w:val="0"/>
                <w:szCs w:val="24"/>
                <w:lang w:eastAsia="en-US"/>
              </w:rPr>
              <w:t>Step 1: Decide on the appropriateness of a mixed-methods design</w:t>
            </w:r>
          </w:p>
        </w:tc>
        <w:tc>
          <w:tcPr>
            <w:tcW w:w="729" w:type="pct"/>
            <w:tcBorders>
              <w:top w:val="single" w:sz="4" w:space="0" w:color="auto"/>
              <w:left w:val="single" w:sz="4" w:space="0" w:color="auto"/>
            </w:tcBorders>
          </w:tcPr>
          <w:p w14:paraId="57D27613"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questions</w:t>
            </w:r>
          </w:p>
        </w:tc>
        <w:tc>
          <w:tcPr>
            <w:tcW w:w="904" w:type="pct"/>
            <w:tcBorders>
              <w:top w:val="single" w:sz="4" w:space="0" w:color="auto"/>
            </w:tcBorders>
          </w:tcPr>
          <w:p w14:paraId="4008AC3E"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Qualitative or quantitative alone is not adequate to answer the research question. Therefore, we used a mixed-methods design</w:t>
            </w:r>
          </w:p>
        </w:tc>
        <w:tc>
          <w:tcPr>
            <w:tcW w:w="764" w:type="pct"/>
            <w:tcBorders>
              <w:top w:val="single" w:sz="4" w:space="0" w:color="auto"/>
            </w:tcBorders>
          </w:tcPr>
          <w:p w14:paraId="27C48B3C"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None</w:t>
            </w:r>
          </w:p>
        </w:tc>
        <w:tc>
          <w:tcPr>
            <w:tcW w:w="1875" w:type="pct"/>
            <w:tcBorders>
              <w:top w:val="single" w:sz="4" w:space="0" w:color="auto"/>
            </w:tcBorders>
          </w:tcPr>
          <w:p w14:paraId="3A1E45ED"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w:t>
            </w:r>
          </w:p>
          <w:p w14:paraId="366D79BA"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This research aims to answer the following questions:</w:t>
            </w:r>
          </w:p>
          <w:p w14:paraId="20E3AC3D"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Qualitative question- What are the factors that are salient in the stress process that cybersecurity professionals experience as part of implementing security controls (EMS) within their organization.</w:t>
            </w:r>
          </w:p>
          <w:p w14:paraId="59536791"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Quantitative question- </w:t>
            </w:r>
          </w:p>
          <w:p w14:paraId="6FB9037C"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i/>
                <w:kern w:val="0"/>
                <w:szCs w:val="24"/>
                <w:lang w:eastAsia="en-US"/>
              </w:rPr>
              <w:t>How do cybersecurity professionals appraise EMS technologies as sources of stress and how do these appraisals result in different behavioral outcomes?</w:t>
            </w:r>
          </w:p>
        </w:tc>
      </w:tr>
      <w:tr w:rsidR="003E5B95" w:rsidRPr="00AC29E4" w14:paraId="539BEF10"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2EC98BCC"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0504D3CD"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Purpose of mixed-methods research</w:t>
            </w:r>
          </w:p>
        </w:tc>
        <w:tc>
          <w:tcPr>
            <w:tcW w:w="904" w:type="pct"/>
          </w:tcPr>
          <w:p w14:paraId="253E05EA"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Given the lack of our understanding of how certain demands are being appraised as that leads to a feeling of challenge stress and hindrance stress and their association with different kinds of coping styles, the </w:t>
            </w:r>
            <w:r w:rsidRPr="007D5BEC">
              <w:rPr>
                <w:rFonts w:cs="Times New Roman"/>
                <w:kern w:val="0"/>
                <w:szCs w:val="24"/>
                <w:lang w:eastAsia="en-US"/>
              </w:rPr>
              <w:lastRenderedPageBreak/>
              <w:t xml:space="preserve">purpose of mixed-methods design is to help develop hypotheses and empirically test them </w:t>
            </w:r>
          </w:p>
        </w:tc>
        <w:tc>
          <w:tcPr>
            <w:tcW w:w="764" w:type="pct"/>
          </w:tcPr>
          <w:p w14:paraId="57759C73"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lastRenderedPageBreak/>
              <w:t>Research questions</w:t>
            </w:r>
          </w:p>
        </w:tc>
        <w:tc>
          <w:tcPr>
            <w:tcW w:w="1875" w:type="pct"/>
          </w:tcPr>
          <w:p w14:paraId="55FFDBB1"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The purpose of our mixed-methods design is “developmental”, which is to understand how individuals appraise any given demand/stressor. To understand this, we employed the mixed-methods design in the specific context of electronic monitoring and surveillance and used a qualitative design to understand the stress phenomenon among cybersecurity professionals. With the help of the result of the qualitative study, we further developed a </w:t>
            </w:r>
            <w:r w:rsidRPr="007D5BEC">
              <w:rPr>
                <w:rFonts w:cs="Times New Roman"/>
                <w:kern w:val="0"/>
                <w:szCs w:val="24"/>
                <w:lang w:eastAsia="en-US"/>
              </w:rPr>
              <w:lastRenderedPageBreak/>
              <w:t xml:space="preserve">research model in the quantitative study to test whether the factors identified in the qualitative study are supported/held across a wider population. </w:t>
            </w:r>
          </w:p>
        </w:tc>
      </w:tr>
      <w:tr w:rsidR="003E5B95" w:rsidRPr="00AC29E4" w14:paraId="5F7A1A4E"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202F29E2"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4C667A40"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Paradigmatic assumption </w:t>
            </w:r>
          </w:p>
        </w:tc>
        <w:tc>
          <w:tcPr>
            <w:tcW w:w="904" w:type="pct"/>
          </w:tcPr>
          <w:p w14:paraId="126CB71B"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The researchers believed in the importance of research questions and embraced various methodological approaches from different worldviews</w:t>
            </w:r>
          </w:p>
        </w:tc>
        <w:tc>
          <w:tcPr>
            <w:tcW w:w="764" w:type="pct"/>
          </w:tcPr>
          <w:p w14:paraId="6FB92FB8"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questions, purposes of mixed methods</w:t>
            </w:r>
          </w:p>
        </w:tc>
        <w:tc>
          <w:tcPr>
            <w:tcW w:w="1875" w:type="pct"/>
          </w:tcPr>
          <w:p w14:paraId="2E68866D"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For the qualitative strand, we adopted the interpretivist perspective. The interpretivist perspective allows understanding the social phenomenon (stress) in its context (EMS) through the perspective of participants (cybersecurity professionals), rather than the researcher </w:t>
            </w:r>
            <w:r w:rsidRPr="007D5BEC">
              <w:rPr>
                <w:rFonts w:cs="Times New Roman"/>
                <w:noProof/>
                <w:kern w:val="0"/>
                <w:szCs w:val="24"/>
                <w:lang w:eastAsia="en-US"/>
              </w:rPr>
              <w:t>(Cohen et al., 2013)</w:t>
            </w:r>
            <w:r w:rsidRPr="007D5BEC">
              <w:rPr>
                <w:rFonts w:cs="Times New Roman"/>
                <w:kern w:val="0"/>
                <w:szCs w:val="24"/>
                <w:lang w:eastAsia="en-US"/>
              </w:rPr>
              <w:t xml:space="preserve">.   </w:t>
            </w:r>
          </w:p>
          <w:p w14:paraId="7AF9E2AE"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For the quantitative strand, we adopted the positivist perspective where hypotheses are put forward in the form of hypotheses about the causal relationships between the phenomenon. The data analysis approach here is deductive. The hypotheses are either rejected or confirmed depending upon the results of statistical analysis </w:t>
            </w:r>
            <w:r w:rsidRPr="007D5BEC">
              <w:rPr>
                <w:rFonts w:cs="Times New Roman"/>
                <w:noProof/>
                <w:kern w:val="0"/>
                <w:szCs w:val="24"/>
                <w:lang w:eastAsia="en-US"/>
              </w:rPr>
              <w:t>(Cohen et al., 2013)</w:t>
            </w:r>
            <w:r w:rsidRPr="007D5BEC">
              <w:rPr>
                <w:rFonts w:cs="Times New Roman"/>
                <w:kern w:val="0"/>
                <w:szCs w:val="24"/>
                <w:lang w:eastAsia="en-US"/>
              </w:rPr>
              <w:t xml:space="preserve">.   </w:t>
            </w:r>
          </w:p>
        </w:tc>
      </w:tr>
      <w:tr w:rsidR="003E5B95" w:rsidRPr="00AC29E4" w14:paraId="3A0E3049"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6A500E28"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1C3BFCFC"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Epistemological perspective </w:t>
            </w:r>
          </w:p>
        </w:tc>
        <w:tc>
          <w:tcPr>
            <w:tcW w:w="904" w:type="pct"/>
          </w:tcPr>
          <w:p w14:paraId="44650AF7"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The qualitative and quantitative components of the study used different paradigmatic assumptions</w:t>
            </w:r>
          </w:p>
        </w:tc>
        <w:tc>
          <w:tcPr>
            <w:tcW w:w="764" w:type="pct"/>
          </w:tcPr>
          <w:p w14:paraId="73628124"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questions, purposes of mixed methods</w:t>
            </w:r>
          </w:p>
        </w:tc>
        <w:tc>
          <w:tcPr>
            <w:tcW w:w="1875" w:type="pct"/>
          </w:tcPr>
          <w:p w14:paraId="250132FF"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Multiple paradigms </w:t>
            </w:r>
          </w:p>
        </w:tc>
      </w:tr>
      <w:tr w:rsidR="003E5B95" w:rsidRPr="00AC29E4" w14:paraId="1B6466A6"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4D5F3D94" w14:textId="77777777" w:rsidR="003E5B95" w:rsidRPr="007D5BEC" w:rsidRDefault="003E5B95" w:rsidP="003E5B95">
            <w:pPr>
              <w:spacing w:line="240" w:lineRule="auto"/>
              <w:ind w:firstLine="0"/>
              <w:contextualSpacing w:val="0"/>
              <w:rPr>
                <w:rFonts w:cs="Times New Roman"/>
                <w:b w:val="0"/>
                <w:bCs w:val="0"/>
                <w:kern w:val="0"/>
                <w:szCs w:val="24"/>
                <w:lang w:eastAsia="en-US"/>
              </w:rPr>
            </w:pPr>
            <w:r w:rsidRPr="007D5BEC">
              <w:rPr>
                <w:rFonts w:cs="Times New Roman"/>
                <w:b w:val="0"/>
                <w:bCs w:val="0"/>
                <w:kern w:val="0"/>
                <w:szCs w:val="24"/>
                <w:lang w:eastAsia="en-US"/>
              </w:rPr>
              <w:t xml:space="preserve">Step 2: Develop strategies for </w:t>
            </w:r>
            <w:r w:rsidRPr="007D5BEC">
              <w:rPr>
                <w:rFonts w:cs="Times New Roman"/>
                <w:b w:val="0"/>
                <w:bCs w:val="0"/>
                <w:kern w:val="0"/>
                <w:szCs w:val="24"/>
                <w:lang w:eastAsia="en-US"/>
              </w:rPr>
              <w:lastRenderedPageBreak/>
              <w:t>mixed-methods design</w:t>
            </w:r>
          </w:p>
        </w:tc>
        <w:tc>
          <w:tcPr>
            <w:tcW w:w="729" w:type="pct"/>
            <w:tcBorders>
              <w:left w:val="single" w:sz="4" w:space="0" w:color="auto"/>
            </w:tcBorders>
          </w:tcPr>
          <w:p w14:paraId="59CA4788"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lastRenderedPageBreak/>
              <w:t>Design investigation strategy</w:t>
            </w:r>
          </w:p>
        </w:tc>
        <w:tc>
          <w:tcPr>
            <w:tcW w:w="904" w:type="pct"/>
          </w:tcPr>
          <w:p w14:paraId="40271468"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This mixed-method study aims to test a theory </w:t>
            </w:r>
          </w:p>
        </w:tc>
        <w:tc>
          <w:tcPr>
            <w:tcW w:w="764" w:type="pct"/>
          </w:tcPr>
          <w:p w14:paraId="3646B81E"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Research questions, </w:t>
            </w:r>
            <w:r w:rsidRPr="007D5BEC">
              <w:rPr>
                <w:rFonts w:cs="Times New Roman"/>
                <w:kern w:val="0"/>
                <w:szCs w:val="24"/>
                <w:lang w:eastAsia="en-US"/>
              </w:rPr>
              <w:lastRenderedPageBreak/>
              <w:t>paradigmatic assumption</w:t>
            </w:r>
          </w:p>
        </w:tc>
        <w:tc>
          <w:tcPr>
            <w:tcW w:w="1875" w:type="pct"/>
          </w:tcPr>
          <w:p w14:paraId="521224AC"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lastRenderedPageBreak/>
              <w:t>This study has two phases:</w:t>
            </w:r>
          </w:p>
          <w:p w14:paraId="1D15C928" w14:textId="77777777" w:rsidR="003E5B95" w:rsidRPr="007D5BEC" w:rsidRDefault="003E5B95" w:rsidP="003E5B95">
            <w:pPr>
              <w:numPr>
                <w:ilvl w:val="0"/>
                <w:numId w:val="3"/>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Exploratory investigation</w:t>
            </w:r>
          </w:p>
          <w:p w14:paraId="67D2C1DF" w14:textId="77777777" w:rsidR="003E5B95" w:rsidRPr="007D5BEC" w:rsidRDefault="003E5B95" w:rsidP="003E5B95">
            <w:pPr>
              <w:numPr>
                <w:ilvl w:val="0"/>
                <w:numId w:val="3"/>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Confirmatory investigation</w:t>
            </w:r>
          </w:p>
        </w:tc>
      </w:tr>
      <w:tr w:rsidR="003E5B95" w:rsidRPr="00AC29E4" w14:paraId="3EE0109F"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75C2B196"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4923CC0A"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Strands/phases of research</w:t>
            </w:r>
          </w:p>
        </w:tc>
        <w:tc>
          <w:tcPr>
            <w:tcW w:w="904" w:type="pct"/>
          </w:tcPr>
          <w:p w14:paraId="7D5781E8"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This study involves two phases</w:t>
            </w:r>
          </w:p>
        </w:tc>
        <w:tc>
          <w:tcPr>
            <w:tcW w:w="764" w:type="pct"/>
          </w:tcPr>
          <w:p w14:paraId="211F9F2A"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Purpose of mixed-methods research</w:t>
            </w:r>
          </w:p>
        </w:tc>
        <w:tc>
          <w:tcPr>
            <w:tcW w:w="1875" w:type="pct"/>
          </w:tcPr>
          <w:p w14:paraId="5529C7BA"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Multistrand design</w:t>
            </w:r>
          </w:p>
        </w:tc>
      </w:tr>
      <w:tr w:rsidR="003E5B95" w:rsidRPr="00AC29E4" w14:paraId="280C1FAE"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34EA8CBD"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2525F47F"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Mixing strategy</w:t>
            </w:r>
          </w:p>
        </w:tc>
        <w:tc>
          <w:tcPr>
            <w:tcW w:w="904" w:type="pct"/>
          </w:tcPr>
          <w:p w14:paraId="3C216AB4"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The qualitative and quantitative components of the study are not mixed instead qualitative design informed the quantitative design</w:t>
            </w:r>
          </w:p>
        </w:tc>
        <w:tc>
          <w:tcPr>
            <w:tcW w:w="764" w:type="pct"/>
          </w:tcPr>
          <w:p w14:paraId="69074891"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Purposes of mixed-methods research, strands/phases of research</w:t>
            </w:r>
          </w:p>
        </w:tc>
        <w:tc>
          <w:tcPr>
            <w:tcW w:w="1875" w:type="pct"/>
          </w:tcPr>
          <w:p w14:paraId="5777BFF6"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Sequentially mixed methods</w:t>
            </w:r>
          </w:p>
        </w:tc>
      </w:tr>
      <w:tr w:rsidR="003E5B95" w:rsidRPr="00AC29E4" w14:paraId="6359132D"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74280B7B"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3F4D7382"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Time orientation</w:t>
            </w:r>
          </w:p>
        </w:tc>
        <w:tc>
          <w:tcPr>
            <w:tcW w:w="904" w:type="pct"/>
          </w:tcPr>
          <w:p w14:paraId="19550597"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We started with the qualitative phase, followed by the quantitative phase.</w:t>
            </w:r>
          </w:p>
        </w:tc>
        <w:tc>
          <w:tcPr>
            <w:tcW w:w="764" w:type="pct"/>
          </w:tcPr>
          <w:p w14:paraId="6DC430A5"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questions, strands/phases of research</w:t>
            </w:r>
          </w:p>
        </w:tc>
        <w:tc>
          <w:tcPr>
            <w:tcW w:w="1875" w:type="pct"/>
          </w:tcPr>
          <w:p w14:paraId="1A8B0C06"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Sequential (exploratory) design</w:t>
            </w:r>
          </w:p>
        </w:tc>
      </w:tr>
      <w:tr w:rsidR="003E5B95" w:rsidRPr="00AC29E4" w14:paraId="189F92B7"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6B418CBF" w14:textId="77777777" w:rsidR="003E5B95" w:rsidRPr="007D5BEC" w:rsidRDefault="003E5B95" w:rsidP="003E5B95">
            <w:pPr>
              <w:spacing w:line="240" w:lineRule="auto"/>
              <w:ind w:firstLine="0"/>
              <w:contextualSpacing w:val="0"/>
              <w:rPr>
                <w:rFonts w:cs="Times New Roman"/>
                <w:b w:val="0"/>
                <w:bCs w:val="0"/>
                <w:kern w:val="0"/>
                <w:szCs w:val="24"/>
                <w:lang w:eastAsia="en-US"/>
              </w:rPr>
            </w:pPr>
          </w:p>
        </w:tc>
        <w:tc>
          <w:tcPr>
            <w:tcW w:w="729" w:type="pct"/>
            <w:tcBorders>
              <w:left w:val="single" w:sz="4" w:space="0" w:color="auto"/>
            </w:tcBorders>
          </w:tcPr>
          <w:p w14:paraId="4CC16EB3"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Priority of methodological approach</w:t>
            </w:r>
          </w:p>
        </w:tc>
        <w:tc>
          <w:tcPr>
            <w:tcW w:w="904" w:type="pct"/>
          </w:tcPr>
          <w:p w14:paraId="33C0B7D9"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The qualitative and quantitative components are equally important</w:t>
            </w:r>
          </w:p>
        </w:tc>
        <w:tc>
          <w:tcPr>
            <w:tcW w:w="764" w:type="pct"/>
          </w:tcPr>
          <w:p w14:paraId="0359CC1D"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Research questions, strands/phases of research</w:t>
            </w:r>
          </w:p>
        </w:tc>
        <w:tc>
          <w:tcPr>
            <w:tcW w:w="1875" w:type="pct"/>
          </w:tcPr>
          <w:p w14:paraId="26F82491"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Equivalent status design</w:t>
            </w:r>
          </w:p>
        </w:tc>
      </w:tr>
      <w:tr w:rsidR="003E5B95" w:rsidRPr="00AC29E4" w14:paraId="0E99BA15"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3CCC2742" w14:textId="77777777" w:rsidR="003E5B95" w:rsidRPr="007D5BEC" w:rsidRDefault="003E5B95" w:rsidP="003E5B95">
            <w:pPr>
              <w:spacing w:line="240" w:lineRule="auto"/>
              <w:ind w:firstLine="0"/>
              <w:contextualSpacing w:val="0"/>
              <w:rPr>
                <w:rFonts w:cs="Times New Roman"/>
                <w:b w:val="0"/>
                <w:bCs w:val="0"/>
                <w:kern w:val="0"/>
                <w:szCs w:val="24"/>
                <w:lang w:eastAsia="en-US"/>
              </w:rPr>
            </w:pPr>
            <w:r w:rsidRPr="007D5BEC">
              <w:rPr>
                <w:rFonts w:cs="Times New Roman"/>
                <w:b w:val="0"/>
                <w:bCs w:val="0"/>
                <w:kern w:val="0"/>
                <w:szCs w:val="24"/>
                <w:lang w:eastAsia="en-US"/>
              </w:rPr>
              <w:t>Step 3: Develop strategies for collecting and analyzing mixed-methods data</w:t>
            </w:r>
          </w:p>
        </w:tc>
        <w:tc>
          <w:tcPr>
            <w:tcW w:w="729" w:type="pct"/>
            <w:tcBorders>
              <w:left w:val="single" w:sz="4" w:space="0" w:color="auto"/>
            </w:tcBorders>
          </w:tcPr>
          <w:p w14:paraId="7F0AF254"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Sampling design strategies</w:t>
            </w:r>
          </w:p>
        </w:tc>
        <w:tc>
          <w:tcPr>
            <w:tcW w:w="904" w:type="pct"/>
          </w:tcPr>
          <w:p w14:paraId="61FF7B2C"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The samples for the quantitative and qualitative components of the study differed, but they come from the same underlying population (i.e., cybersecurity </w:t>
            </w:r>
            <w:r w:rsidRPr="007D5BEC">
              <w:rPr>
                <w:rFonts w:cs="Times New Roman"/>
                <w:kern w:val="0"/>
                <w:szCs w:val="24"/>
                <w:lang w:eastAsia="en-US"/>
              </w:rPr>
              <w:lastRenderedPageBreak/>
              <w:t>professionals employed within the United States)</w:t>
            </w:r>
          </w:p>
        </w:tc>
        <w:tc>
          <w:tcPr>
            <w:tcW w:w="764" w:type="pct"/>
          </w:tcPr>
          <w:p w14:paraId="21252E2A"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lastRenderedPageBreak/>
              <w:t>Design investigation strategy, time orientation</w:t>
            </w:r>
          </w:p>
        </w:tc>
        <w:tc>
          <w:tcPr>
            <w:tcW w:w="1875" w:type="pct"/>
          </w:tcPr>
          <w:p w14:paraId="2A68B94E"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We used a sequential sampling strategy where purposive random sampling was done for the qualitative study given the specific knowledge and experiences about the cybersecurity profession and EMS practices. The quantitative strand employs a probability sampling strategy where cybersecurity professionals were randomly selected from the population based on their job role in the cybersecurity domain. </w:t>
            </w:r>
          </w:p>
        </w:tc>
      </w:tr>
      <w:tr w:rsidR="003E5B95" w:rsidRPr="00AC29E4" w14:paraId="4704CD58" w14:textId="77777777" w:rsidTr="003E5B95">
        <w:trPr>
          <w:cnfStyle w:val="000000100000" w:firstRow="0" w:lastRow="0" w:firstColumn="0" w:lastColumn="0" w:oddVBand="0" w:evenVBand="0" w:oddHBand="1" w:evenHBand="0" w:firstRowFirstColumn="0" w:firstRowLastColumn="0" w:lastRowFirstColumn="0" w:lastRowLastColumn="0"/>
          <w:trHeight w:val="720"/>
        </w:trPr>
        <w:tc>
          <w:tcPr>
            <w:cnfStyle w:val="001000000000" w:firstRow="0" w:lastRow="0" w:firstColumn="1" w:lastColumn="0" w:oddVBand="0" w:evenVBand="0" w:oddHBand="0" w:evenHBand="0" w:firstRowFirstColumn="0" w:firstRowLastColumn="0" w:lastRowFirstColumn="0" w:lastRowLastColumn="0"/>
            <w:tcW w:w="728" w:type="pct"/>
            <w:tcBorders>
              <w:right w:val="single" w:sz="4" w:space="0" w:color="auto"/>
            </w:tcBorders>
          </w:tcPr>
          <w:p w14:paraId="3A847BD0" w14:textId="77777777" w:rsidR="003E5B95" w:rsidRPr="007D5BEC" w:rsidRDefault="003E5B95" w:rsidP="003E5B95">
            <w:pPr>
              <w:spacing w:line="240" w:lineRule="auto"/>
              <w:ind w:firstLine="0"/>
              <w:contextualSpacing w:val="0"/>
              <w:rPr>
                <w:rFonts w:cs="Times New Roman"/>
                <w:kern w:val="0"/>
                <w:szCs w:val="24"/>
                <w:lang w:eastAsia="en-US"/>
              </w:rPr>
            </w:pPr>
          </w:p>
        </w:tc>
        <w:tc>
          <w:tcPr>
            <w:tcW w:w="729" w:type="pct"/>
            <w:tcBorders>
              <w:left w:val="single" w:sz="4" w:space="0" w:color="auto"/>
            </w:tcBorders>
          </w:tcPr>
          <w:p w14:paraId="078EBFA5"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Data collection strategies</w:t>
            </w:r>
          </w:p>
        </w:tc>
        <w:tc>
          <w:tcPr>
            <w:tcW w:w="904" w:type="pct"/>
          </w:tcPr>
          <w:p w14:paraId="0A5AD1B2" w14:textId="70B79B1F"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Qualitative data are collected </w:t>
            </w:r>
            <w:r w:rsidR="0045738D">
              <w:rPr>
                <w:rFonts w:cs="Times New Roman"/>
                <w:kern w:val="0"/>
                <w:szCs w:val="24"/>
                <w:lang w:eastAsia="en-US"/>
              </w:rPr>
              <w:t>before the</w:t>
            </w:r>
            <w:r w:rsidRPr="007D5BEC">
              <w:rPr>
                <w:rFonts w:cs="Times New Roman"/>
                <w:kern w:val="0"/>
                <w:szCs w:val="24"/>
                <w:lang w:eastAsia="en-US"/>
              </w:rPr>
              <w:t xml:space="preserve">. </w:t>
            </w:r>
          </w:p>
          <w:p w14:paraId="592B4858" w14:textId="15FB64CB"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Quantitative data. </w:t>
            </w:r>
          </w:p>
        </w:tc>
        <w:tc>
          <w:tcPr>
            <w:tcW w:w="764" w:type="pct"/>
          </w:tcPr>
          <w:p w14:paraId="6C833806"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Sampling design strategies, time orientation, strands/phases of research</w:t>
            </w:r>
          </w:p>
        </w:tc>
        <w:tc>
          <w:tcPr>
            <w:tcW w:w="1875" w:type="pct"/>
          </w:tcPr>
          <w:p w14:paraId="01093924"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 xml:space="preserve">The qualitative study employed a semi-structured interview with open-ended questions using an interview transcript. </w:t>
            </w:r>
          </w:p>
          <w:p w14:paraId="59E1D066" w14:textId="77777777" w:rsidR="003E5B95" w:rsidRPr="007D5BEC"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The quantitative study employed closed-ended questions adapted from the previously validated instruments.</w:t>
            </w:r>
          </w:p>
        </w:tc>
      </w:tr>
      <w:tr w:rsidR="003E5B95" w:rsidRPr="00AC29E4" w14:paraId="565683D1" w14:textId="77777777" w:rsidTr="003E5B95">
        <w:trPr>
          <w:trHeight w:val="720"/>
        </w:trPr>
        <w:tc>
          <w:tcPr>
            <w:cnfStyle w:val="001000000000" w:firstRow="0" w:lastRow="0" w:firstColumn="1" w:lastColumn="0" w:oddVBand="0" w:evenVBand="0" w:oddHBand="0" w:evenHBand="0" w:firstRowFirstColumn="0" w:firstRowLastColumn="0" w:lastRowFirstColumn="0" w:lastRowLastColumn="0"/>
            <w:tcW w:w="728" w:type="pct"/>
            <w:tcBorders>
              <w:bottom w:val="single" w:sz="4" w:space="0" w:color="auto"/>
              <w:right w:val="single" w:sz="4" w:space="0" w:color="auto"/>
            </w:tcBorders>
          </w:tcPr>
          <w:p w14:paraId="1E468AAD" w14:textId="77777777" w:rsidR="003E5B95" w:rsidRPr="007D5BEC" w:rsidRDefault="003E5B95" w:rsidP="003E5B95">
            <w:pPr>
              <w:spacing w:line="240" w:lineRule="auto"/>
              <w:ind w:firstLine="0"/>
              <w:contextualSpacing w:val="0"/>
              <w:rPr>
                <w:rFonts w:cs="Times New Roman"/>
                <w:kern w:val="0"/>
                <w:szCs w:val="24"/>
                <w:lang w:eastAsia="en-US"/>
              </w:rPr>
            </w:pPr>
          </w:p>
        </w:tc>
        <w:tc>
          <w:tcPr>
            <w:tcW w:w="729" w:type="pct"/>
            <w:tcBorders>
              <w:left w:val="single" w:sz="4" w:space="0" w:color="auto"/>
              <w:bottom w:val="single" w:sz="4" w:space="0" w:color="auto"/>
            </w:tcBorders>
          </w:tcPr>
          <w:p w14:paraId="1342E34B"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Data analysis strategy</w:t>
            </w:r>
          </w:p>
        </w:tc>
        <w:tc>
          <w:tcPr>
            <w:tcW w:w="904" w:type="pct"/>
            <w:tcBorders>
              <w:bottom w:val="single" w:sz="4" w:space="0" w:color="auto"/>
            </w:tcBorders>
          </w:tcPr>
          <w:p w14:paraId="081682ED"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We analyzed the qualitative data first and the quantitative data second.</w:t>
            </w:r>
          </w:p>
        </w:tc>
        <w:tc>
          <w:tcPr>
            <w:tcW w:w="764" w:type="pct"/>
            <w:tcBorders>
              <w:bottom w:val="single" w:sz="4" w:space="0" w:color="auto"/>
            </w:tcBorders>
          </w:tcPr>
          <w:p w14:paraId="62A966EF"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Time orientation, data collection strategy, strands/phases of research</w:t>
            </w:r>
          </w:p>
        </w:tc>
        <w:tc>
          <w:tcPr>
            <w:tcW w:w="1875" w:type="pct"/>
            <w:tcBorders>
              <w:bottom w:val="single" w:sz="4" w:space="0" w:color="auto"/>
            </w:tcBorders>
          </w:tcPr>
          <w:p w14:paraId="17DEB871" w14:textId="77777777" w:rsidR="003E5B95" w:rsidRPr="007D5BEC"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7D5BEC">
              <w:rPr>
                <w:rFonts w:cs="Times New Roman"/>
                <w:kern w:val="0"/>
                <w:szCs w:val="24"/>
                <w:lang w:eastAsia="en-US"/>
              </w:rPr>
              <w:t>Sequential: qualitative-quantitative analysis</w:t>
            </w:r>
          </w:p>
        </w:tc>
      </w:tr>
    </w:tbl>
    <w:p w14:paraId="500BCEAE" w14:textId="77777777" w:rsidR="003E5B95" w:rsidRPr="00AC29E4" w:rsidRDefault="003E5B95" w:rsidP="003E5B95">
      <w:pPr>
        <w:spacing w:after="160" w:line="259" w:lineRule="auto"/>
        <w:ind w:firstLine="0"/>
        <w:contextualSpacing w:val="0"/>
        <w:jc w:val="both"/>
        <w:rPr>
          <w:rFonts w:cs="Times New Roman"/>
          <w:b/>
          <w:bCs/>
          <w:kern w:val="0"/>
          <w:szCs w:val="24"/>
          <w:lang w:eastAsia="en-US"/>
        </w:rPr>
        <w:sectPr w:rsidR="003E5B95" w:rsidRPr="00AC29E4" w:rsidSect="00DF56B1">
          <w:headerReference w:type="default" r:id="rId19"/>
          <w:pgSz w:w="15840" w:h="12240" w:orient="landscape"/>
          <w:pgMar w:top="1440" w:right="1440" w:bottom="1440" w:left="1440" w:header="720" w:footer="720" w:gutter="0"/>
          <w:cols w:space="720"/>
          <w:docGrid w:linePitch="360"/>
        </w:sectPr>
      </w:pPr>
    </w:p>
    <w:p w14:paraId="7004B64F" w14:textId="77777777" w:rsidR="003E5B95" w:rsidRPr="004011E1" w:rsidRDefault="003E5B95" w:rsidP="003E5B95">
      <w:pPr>
        <w:pStyle w:val="Heading1"/>
        <w:rPr>
          <w:b/>
          <w:bCs/>
          <w:color w:val="000000"/>
          <w:kern w:val="0"/>
          <w:lang w:eastAsia="en-US"/>
        </w:rPr>
      </w:pPr>
      <w:bookmarkStart w:id="286" w:name="_Toc74087555"/>
      <w:bookmarkStart w:id="287" w:name="_Toc74258671"/>
      <w:bookmarkStart w:id="288" w:name="_Toc74045270"/>
      <w:r w:rsidRPr="004011E1">
        <w:rPr>
          <w:b/>
          <w:bCs/>
          <w:color w:val="000000"/>
          <w:kern w:val="0"/>
          <w:lang w:eastAsia="en-US"/>
        </w:rPr>
        <w:lastRenderedPageBreak/>
        <w:t>APPENDIX F: QUALITATIVE INTERVIEW PROTOCOL</w:t>
      </w:r>
      <w:bookmarkEnd w:id="286"/>
      <w:bookmarkEnd w:id="287"/>
    </w:p>
    <w:bookmarkEnd w:id="288"/>
    <w:p w14:paraId="7FD2F160" w14:textId="77777777" w:rsidR="003E5B95" w:rsidRPr="001B64F8" w:rsidRDefault="003E5B95" w:rsidP="003E5B95">
      <w:pPr>
        <w:rPr>
          <w:rFonts w:cs="Times New Roman"/>
          <w:szCs w:val="24"/>
        </w:rPr>
      </w:pPr>
      <w:r w:rsidRPr="001B64F8">
        <w:rPr>
          <w:rStyle w:val="il"/>
          <w:rFonts w:cs="Times New Roman"/>
          <w:color w:val="000000"/>
          <w:szCs w:val="24"/>
        </w:rPr>
        <w:t xml:space="preserve">To maintain an acceptable level of security, organizations use increasingly sophisticated employee monitoring and surveillance (EM/S) practices, such as employee web and </w:t>
      </w:r>
      <w:r w:rsidRPr="001B64F8">
        <w:rPr>
          <w:rFonts w:cs="Times New Roman"/>
          <w:szCs w:val="24"/>
        </w:rPr>
        <w:t xml:space="preserve">email activity monitoring, keystroke monitoring, and social media activity surveillance. While EM/S technologies and practices are useful for helping to secure a firm’s data and operations, they may also have unintended consequences of creating strain among the cybersecurity professionals responsible for implementing them. In this study, we are attempting to understand the conditions and characteristics of EM/S practices that cause stress among cybersecurity professionals and the coping mechanisms they adopt to attenuate the stress.  </w:t>
      </w:r>
    </w:p>
    <w:p w14:paraId="5A82F9AB" w14:textId="77777777" w:rsidR="003E5B95" w:rsidRPr="002F174A" w:rsidRDefault="003E5B95" w:rsidP="003E5B95">
      <w:pPr>
        <w:spacing w:before="240"/>
        <w:ind w:firstLine="0"/>
        <w:rPr>
          <w:rFonts w:eastAsia="Times New Roman" w:cs="Times New Roman"/>
          <w:szCs w:val="24"/>
        </w:rPr>
      </w:pPr>
      <w:r w:rsidRPr="007D31B0">
        <w:rPr>
          <w:rFonts w:cs="Times New Roman"/>
          <w:b/>
          <w:bCs/>
          <w:szCs w:val="24"/>
        </w:rPr>
        <w:t>General purpose question:</w:t>
      </w:r>
      <w:r w:rsidRPr="001B64F8">
        <w:rPr>
          <w:rFonts w:cs="Times New Roman"/>
          <w:b/>
          <w:bCs/>
          <w:szCs w:val="24"/>
        </w:rPr>
        <w:t xml:space="preserve"> </w:t>
      </w:r>
      <w:r w:rsidRPr="001B64F8">
        <w:rPr>
          <w:rFonts w:eastAsia="Times New Roman" w:cs="Times New Roman"/>
          <w:szCs w:val="24"/>
        </w:rPr>
        <w:t>With which workforce category, you most closely identify with. Check more than one if it applies to you.</w:t>
      </w:r>
    </w:p>
    <w:p w14:paraId="6DB0F075" w14:textId="77777777" w:rsidR="003E5B95" w:rsidRDefault="003E5B95" w:rsidP="003E5B95">
      <w:pPr>
        <w:pStyle w:val="Caption"/>
        <w:keepNext/>
        <w:spacing w:line="480" w:lineRule="auto"/>
        <w:rPr>
          <w:sz w:val="24"/>
          <w:szCs w:val="24"/>
        </w:rPr>
      </w:pPr>
      <w:bookmarkStart w:id="289" w:name="_Toc73955266"/>
      <w:bookmarkStart w:id="290" w:name="_Toc74074427"/>
      <w:r w:rsidRPr="00AA2FC3">
        <w:rPr>
          <w:sz w:val="24"/>
          <w:szCs w:val="24"/>
        </w:rPr>
        <w:t xml:space="preserve">Table </w:t>
      </w:r>
      <w:r>
        <w:rPr>
          <w:sz w:val="24"/>
          <w:szCs w:val="24"/>
        </w:rPr>
        <w:t>F1</w:t>
      </w:r>
      <w:r w:rsidRPr="00AA2FC3">
        <w:rPr>
          <w:sz w:val="24"/>
          <w:szCs w:val="24"/>
        </w:rPr>
        <w:t xml:space="preserve"> </w:t>
      </w:r>
      <w:bookmarkStart w:id="291" w:name="_Toc73917986"/>
    </w:p>
    <w:p w14:paraId="3805A274" w14:textId="77777777" w:rsidR="003E5B95" w:rsidRPr="00AA2FC3" w:rsidRDefault="003E5B95" w:rsidP="003E5B95">
      <w:pPr>
        <w:pStyle w:val="Caption"/>
        <w:keepNext/>
        <w:spacing w:line="480" w:lineRule="auto"/>
        <w:rPr>
          <w:b w:val="0"/>
          <w:bCs/>
          <w:i/>
          <w:iCs w:val="0"/>
          <w:sz w:val="24"/>
          <w:szCs w:val="24"/>
        </w:rPr>
      </w:pPr>
      <w:r w:rsidRPr="00AA2FC3">
        <w:rPr>
          <w:b w:val="0"/>
          <w:bCs/>
          <w:i/>
          <w:iCs w:val="0"/>
          <w:sz w:val="24"/>
          <w:szCs w:val="24"/>
        </w:rPr>
        <w:t>Workforce Categories Description (NIST-NICE)</w:t>
      </w:r>
      <w:bookmarkEnd w:id="289"/>
      <w:bookmarkEnd w:id="290"/>
      <w:bookmarkEnd w:id="291"/>
    </w:p>
    <w:tbl>
      <w:tblPr>
        <w:tblStyle w:val="PlainTable4"/>
        <w:tblW w:w="9576" w:type="dxa"/>
        <w:tblLook w:val="04A0" w:firstRow="1" w:lastRow="0" w:firstColumn="1" w:lastColumn="0" w:noHBand="0" w:noVBand="1"/>
      </w:tblPr>
      <w:tblGrid>
        <w:gridCol w:w="2610"/>
        <w:gridCol w:w="6966"/>
      </w:tblGrid>
      <w:tr w:rsidR="003E5B95" w:rsidRPr="007D5BEC" w14:paraId="28CA06B2" w14:textId="77777777" w:rsidTr="007D5BEC">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bottom w:val="single" w:sz="4" w:space="0" w:color="auto"/>
              <w:right w:val="single" w:sz="4" w:space="0" w:color="auto"/>
            </w:tcBorders>
          </w:tcPr>
          <w:p w14:paraId="4B360FFC"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Workforce Categories</w:t>
            </w:r>
          </w:p>
        </w:tc>
        <w:tc>
          <w:tcPr>
            <w:tcW w:w="6966" w:type="dxa"/>
            <w:tcBorders>
              <w:top w:val="single" w:sz="4" w:space="0" w:color="auto"/>
              <w:left w:val="single" w:sz="4" w:space="0" w:color="auto"/>
              <w:bottom w:val="single" w:sz="4" w:space="0" w:color="auto"/>
            </w:tcBorders>
          </w:tcPr>
          <w:p w14:paraId="74101A33" w14:textId="77777777" w:rsidR="003E5B95" w:rsidRPr="00FA0365" w:rsidRDefault="003E5B95" w:rsidP="003E5B95">
            <w:pPr>
              <w:spacing w:line="360" w:lineRule="auto"/>
              <w:ind w:firstLine="0"/>
              <w:cnfStyle w:val="100000000000" w:firstRow="1" w:lastRow="0" w:firstColumn="0" w:lastColumn="0" w:oddVBand="0" w:evenVBand="0" w:oddHBand="0" w:evenHBand="0" w:firstRowFirstColumn="0" w:firstRowLastColumn="0" w:lastRowFirstColumn="0" w:lastRowLastColumn="0"/>
              <w:rPr>
                <w:rFonts w:cs="Times New Roman"/>
                <w:b w:val="0"/>
                <w:bCs w:val="0"/>
                <w:color w:val="000000"/>
                <w:szCs w:val="24"/>
              </w:rPr>
            </w:pPr>
            <w:r w:rsidRPr="00FA0365">
              <w:rPr>
                <w:rFonts w:cs="Times New Roman"/>
                <w:b w:val="0"/>
                <w:bCs w:val="0"/>
                <w:color w:val="000000"/>
                <w:szCs w:val="24"/>
              </w:rPr>
              <w:t>Description</w:t>
            </w:r>
          </w:p>
        </w:tc>
      </w:tr>
      <w:tr w:rsidR="003E5B95" w:rsidRPr="007D5BEC" w14:paraId="307E23C1" w14:textId="77777777" w:rsidTr="007D5BEC">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610" w:type="dxa"/>
            <w:tcBorders>
              <w:top w:val="single" w:sz="4" w:space="0" w:color="auto"/>
              <w:right w:val="single" w:sz="4" w:space="0" w:color="auto"/>
            </w:tcBorders>
          </w:tcPr>
          <w:p w14:paraId="696FB15B"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Operate and Maintain</w:t>
            </w:r>
          </w:p>
        </w:tc>
        <w:tc>
          <w:tcPr>
            <w:tcW w:w="6966" w:type="dxa"/>
            <w:tcBorders>
              <w:top w:val="single" w:sz="4" w:space="0" w:color="auto"/>
              <w:left w:val="single" w:sz="4" w:space="0" w:color="auto"/>
            </w:tcBorders>
          </w:tcPr>
          <w:p w14:paraId="7CF3CFF7" w14:textId="77777777" w:rsidR="003E5B95" w:rsidRPr="00FA0365" w:rsidRDefault="003E5B95" w:rsidP="003E5B95">
            <w:pPr>
              <w:spacing w:line="36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0365">
              <w:rPr>
                <w:rFonts w:cs="Times New Roman"/>
                <w:color w:val="000000"/>
                <w:szCs w:val="24"/>
              </w:rPr>
              <w:t xml:space="preserve">Provide the support, administration, and maintenance necessary to ensure effective and efﬁcient information technology (IT) system performance and security. </w:t>
            </w:r>
          </w:p>
        </w:tc>
      </w:tr>
      <w:tr w:rsidR="003E5B95" w:rsidRPr="007D5BEC" w14:paraId="00823C68" w14:textId="77777777" w:rsidTr="007D5BEC">
        <w:trPr>
          <w:trHeight w:val="360"/>
        </w:trPr>
        <w:tc>
          <w:tcPr>
            <w:cnfStyle w:val="001000000000" w:firstRow="0" w:lastRow="0" w:firstColumn="1" w:lastColumn="0" w:oddVBand="0" w:evenVBand="0" w:oddHBand="0" w:evenHBand="0" w:firstRowFirstColumn="0" w:firstRowLastColumn="0" w:lastRowFirstColumn="0" w:lastRowLastColumn="0"/>
            <w:tcW w:w="2610" w:type="dxa"/>
            <w:tcBorders>
              <w:right w:val="single" w:sz="4" w:space="0" w:color="auto"/>
            </w:tcBorders>
          </w:tcPr>
          <w:p w14:paraId="722E61AD"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Oversee and Govern</w:t>
            </w:r>
          </w:p>
        </w:tc>
        <w:tc>
          <w:tcPr>
            <w:tcW w:w="6966" w:type="dxa"/>
            <w:tcBorders>
              <w:left w:val="single" w:sz="4" w:space="0" w:color="auto"/>
            </w:tcBorders>
          </w:tcPr>
          <w:p w14:paraId="78661D62" w14:textId="77777777" w:rsidR="003E5B95" w:rsidRPr="00FA0365" w:rsidRDefault="003E5B95" w:rsidP="003E5B95">
            <w:pPr>
              <w:spacing w:line="36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0365">
              <w:rPr>
                <w:rFonts w:cs="Times New Roman"/>
                <w:color w:val="000000"/>
                <w:szCs w:val="24"/>
              </w:rPr>
              <w:t>Provide leadership, management, direction, or development, and advocacy so the organization may effectively conduct cybersecurity work.</w:t>
            </w:r>
          </w:p>
        </w:tc>
      </w:tr>
      <w:tr w:rsidR="003E5B95" w:rsidRPr="007D5BEC" w14:paraId="1B78C6C0" w14:textId="77777777" w:rsidTr="007D5BEC">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610" w:type="dxa"/>
            <w:tcBorders>
              <w:right w:val="single" w:sz="4" w:space="0" w:color="auto"/>
            </w:tcBorders>
          </w:tcPr>
          <w:p w14:paraId="1F540261"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Protect and Defend</w:t>
            </w:r>
          </w:p>
        </w:tc>
        <w:tc>
          <w:tcPr>
            <w:tcW w:w="6966" w:type="dxa"/>
            <w:tcBorders>
              <w:left w:val="single" w:sz="4" w:space="0" w:color="auto"/>
            </w:tcBorders>
          </w:tcPr>
          <w:p w14:paraId="74EBF73D" w14:textId="77777777" w:rsidR="003E5B95" w:rsidRPr="00FA0365" w:rsidRDefault="003E5B95" w:rsidP="003E5B95">
            <w:pPr>
              <w:spacing w:line="36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0365">
              <w:rPr>
                <w:rFonts w:cs="Times New Roman"/>
                <w:color w:val="000000"/>
                <w:szCs w:val="24"/>
              </w:rPr>
              <w:t>Identify, analyze, and mitigate threats to internal information technology (IT) systems and/or networks.</w:t>
            </w:r>
          </w:p>
        </w:tc>
      </w:tr>
      <w:tr w:rsidR="003E5B95" w:rsidRPr="007D5BEC" w14:paraId="6DADF4A4" w14:textId="77777777" w:rsidTr="007D5BEC">
        <w:trPr>
          <w:trHeight w:val="360"/>
        </w:trPr>
        <w:tc>
          <w:tcPr>
            <w:cnfStyle w:val="001000000000" w:firstRow="0" w:lastRow="0" w:firstColumn="1" w:lastColumn="0" w:oddVBand="0" w:evenVBand="0" w:oddHBand="0" w:evenHBand="0" w:firstRowFirstColumn="0" w:firstRowLastColumn="0" w:lastRowFirstColumn="0" w:lastRowLastColumn="0"/>
            <w:tcW w:w="2610" w:type="dxa"/>
            <w:tcBorders>
              <w:right w:val="single" w:sz="4" w:space="0" w:color="auto"/>
            </w:tcBorders>
          </w:tcPr>
          <w:p w14:paraId="036D7F0F"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Analyze</w:t>
            </w:r>
          </w:p>
        </w:tc>
        <w:tc>
          <w:tcPr>
            <w:tcW w:w="6966" w:type="dxa"/>
            <w:tcBorders>
              <w:left w:val="single" w:sz="4" w:space="0" w:color="auto"/>
            </w:tcBorders>
          </w:tcPr>
          <w:p w14:paraId="1AB0049E" w14:textId="77777777" w:rsidR="003E5B95" w:rsidRPr="00FA0365" w:rsidRDefault="003E5B95" w:rsidP="003E5B95">
            <w:pPr>
              <w:spacing w:line="36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0365">
              <w:rPr>
                <w:rFonts w:cs="Times New Roman"/>
                <w:color w:val="000000"/>
                <w:szCs w:val="24"/>
              </w:rPr>
              <w:t>Perform highly specialized review and evaluation of incoming cybersecurity information to determine its usefulness for intelligence.</w:t>
            </w:r>
          </w:p>
        </w:tc>
      </w:tr>
      <w:tr w:rsidR="003E5B95" w:rsidRPr="007D5BEC" w14:paraId="33EBF9B1" w14:textId="77777777" w:rsidTr="007D5BEC">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2610" w:type="dxa"/>
            <w:tcBorders>
              <w:right w:val="single" w:sz="4" w:space="0" w:color="auto"/>
            </w:tcBorders>
          </w:tcPr>
          <w:p w14:paraId="458F3036"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t>Collect and Operate</w:t>
            </w:r>
          </w:p>
        </w:tc>
        <w:tc>
          <w:tcPr>
            <w:tcW w:w="6966" w:type="dxa"/>
            <w:tcBorders>
              <w:left w:val="single" w:sz="4" w:space="0" w:color="auto"/>
            </w:tcBorders>
          </w:tcPr>
          <w:p w14:paraId="2139728B" w14:textId="77777777" w:rsidR="003E5B95" w:rsidRPr="00FA0365" w:rsidRDefault="003E5B95" w:rsidP="003E5B95">
            <w:pPr>
              <w:spacing w:line="360" w:lineRule="auto"/>
              <w:ind w:firstLine="0"/>
              <w:cnfStyle w:val="000000100000" w:firstRow="0" w:lastRow="0" w:firstColumn="0" w:lastColumn="0" w:oddVBand="0" w:evenVBand="0" w:oddHBand="1" w:evenHBand="0" w:firstRowFirstColumn="0" w:firstRowLastColumn="0" w:lastRowFirstColumn="0" w:lastRowLastColumn="0"/>
              <w:rPr>
                <w:rFonts w:cs="Times New Roman"/>
                <w:color w:val="000000"/>
                <w:szCs w:val="24"/>
              </w:rPr>
            </w:pPr>
            <w:r w:rsidRPr="00FA0365">
              <w:rPr>
                <w:rFonts w:cs="Times New Roman"/>
                <w:color w:val="000000"/>
                <w:szCs w:val="24"/>
              </w:rPr>
              <w:t>Provide specialized denial and deception operations and collection of cybersecurity information that may be used to develop intelligence.</w:t>
            </w:r>
          </w:p>
        </w:tc>
      </w:tr>
      <w:tr w:rsidR="003E5B95" w:rsidRPr="007D5BEC" w14:paraId="1EC2C25A" w14:textId="77777777" w:rsidTr="007D5BEC">
        <w:trPr>
          <w:trHeight w:val="360"/>
        </w:trPr>
        <w:tc>
          <w:tcPr>
            <w:cnfStyle w:val="001000000000" w:firstRow="0" w:lastRow="0" w:firstColumn="1" w:lastColumn="0" w:oddVBand="0" w:evenVBand="0" w:oddHBand="0" w:evenHBand="0" w:firstRowFirstColumn="0" w:firstRowLastColumn="0" w:lastRowFirstColumn="0" w:lastRowLastColumn="0"/>
            <w:tcW w:w="2610" w:type="dxa"/>
            <w:tcBorders>
              <w:bottom w:val="single" w:sz="4" w:space="0" w:color="auto"/>
              <w:right w:val="single" w:sz="4" w:space="0" w:color="auto"/>
            </w:tcBorders>
          </w:tcPr>
          <w:p w14:paraId="7ED6C1CE" w14:textId="77777777" w:rsidR="003E5B95" w:rsidRPr="00FA0365" w:rsidRDefault="003E5B95" w:rsidP="003E5B95">
            <w:pPr>
              <w:spacing w:line="360" w:lineRule="auto"/>
              <w:ind w:firstLine="0"/>
              <w:rPr>
                <w:rFonts w:cs="Times New Roman"/>
                <w:b w:val="0"/>
                <w:bCs w:val="0"/>
                <w:color w:val="000000"/>
                <w:szCs w:val="24"/>
              </w:rPr>
            </w:pPr>
            <w:r w:rsidRPr="00FA0365">
              <w:rPr>
                <w:rFonts w:cs="Times New Roman"/>
                <w:b w:val="0"/>
                <w:bCs w:val="0"/>
                <w:color w:val="000000"/>
                <w:szCs w:val="24"/>
              </w:rPr>
              <w:lastRenderedPageBreak/>
              <w:t>Investigate</w:t>
            </w:r>
          </w:p>
        </w:tc>
        <w:tc>
          <w:tcPr>
            <w:tcW w:w="6966" w:type="dxa"/>
            <w:tcBorders>
              <w:left w:val="single" w:sz="4" w:space="0" w:color="auto"/>
              <w:bottom w:val="single" w:sz="4" w:space="0" w:color="auto"/>
            </w:tcBorders>
          </w:tcPr>
          <w:p w14:paraId="0FD5F91F" w14:textId="77777777" w:rsidR="003E5B95" w:rsidRPr="00FA0365" w:rsidRDefault="003E5B95" w:rsidP="003E5B95">
            <w:pPr>
              <w:spacing w:line="360" w:lineRule="auto"/>
              <w:ind w:firstLine="0"/>
              <w:cnfStyle w:val="000000000000" w:firstRow="0" w:lastRow="0" w:firstColumn="0" w:lastColumn="0" w:oddVBand="0" w:evenVBand="0" w:oddHBand="0" w:evenHBand="0" w:firstRowFirstColumn="0" w:firstRowLastColumn="0" w:lastRowFirstColumn="0" w:lastRowLastColumn="0"/>
              <w:rPr>
                <w:rFonts w:cs="Times New Roman"/>
                <w:color w:val="000000"/>
                <w:szCs w:val="24"/>
              </w:rPr>
            </w:pPr>
            <w:r w:rsidRPr="00FA0365">
              <w:rPr>
                <w:rFonts w:cs="Times New Roman"/>
                <w:color w:val="000000"/>
                <w:szCs w:val="24"/>
              </w:rPr>
              <w:t>Investigate cybersecurity events or crimes related to information technology (IT) systems, networks, and digital evidence.</w:t>
            </w:r>
          </w:p>
        </w:tc>
      </w:tr>
    </w:tbl>
    <w:p w14:paraId="30A6B0FE" w14:textId="77777777" w:rsidR="003E5B95" w:rsidRPr="001B64F8" w:rsidRDefault="003E5B95" w:rsidP="003E5B95">
      <w:pPr>
        <w:keepNext/>
        <w:rPr>
          <w:rFonts w:cs="Times New Roman"/>
          <w:bCs/>
          <w:szCs w:val="24"/>
        </w:rPr>
      </w:pPr>
    </w:p>
    <w:p w14:paraId="05E0BFE4" w14:textId="77777777" w:rsidR="003E5B95" w:rsidRPr="001B64F8" w:rsidRDefault="003E5B95" w:rsidP="003E5B95">
      <w:pPr>
        <w:pStyle w:val="ListParagraph"/>
        <w:keepNext/>
        <w:numPr>
          <w:ilvl w:val="0"/>
          <w:numId w:val="11"/>
        </w:numPr>
        <w:spacing w:after="160" w:line="480" w:lineRule="auto"/>
        <w:rPr>
          <w:rFonts w:ascii="Times New Roman" w:hAnsi="Times New Roman" w:cs="Times New Roman"/>
          <w:bCs/>
          <w:sz w:val="24"/>
          <w:szCs w:val="24"/>
        </w:rPr>
      </w:pPr>
      <w:r w:rsidRPr="001B64F8">
        <w:rPr>
          <w:rFonts w:ascii="Times New Roman" w:hAnsi="Times New Roman" w:cs="Times New Roman"/>
          <w:bCs/>
          <w:sz w:val="24"/>
          <w:szCs w:val="24"/>
        </w:rPr>
        <w:t>Help us to understand your general tendency to be stressed. Please select a single score from 1 to 5 for each statement below, where 1 = false, 2 = mostly false, 3 = neither true nor false, 4 = mostly true, and 5 = true.</w:t>
      </w:r>
    </w:p>
    <w:p w14:paraId="1A2E4979"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I generally view myself as being stressed at work.</w:t>
      </w:r>
    </w:p>
    <w:p w14:paraId="7CC570E8"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I rarely experience stress at work.</w:t>
      </w:r>
    </w:p>
    <w:p w14:paraId="3D897F33"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My friends at work see me as someone who is often stressed about work.</w:t>
      </w:r>
    </w:p>
    <w:p w14:paraId="5EE19860"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 xml:space="preserve">I experience work stress </w:t>
      </w:r>
      <w:proofErr w:type="spellStart"/>
      <w:r w:rsidRPr="001B64F8">
        <w:rPr>
          <w:rFonts w:ascii="Times New Roman" w:hAnsi="Times New Roman" w:cs="Times New Roman"/>
          <w:sz w:val="24"/>
          <w:szCs w:val="24"/>
        </w:rPr>
        <w:t>atleast</w:t>
      </w:r>
      <w:proofErr w:type="spellEnd"/>
      <w:r w:rsidRPr="001B64F8">
        <w:rPr>
          <w:rFonts w:ascii="Times New Roman" w:hAnsi="Times New Roman" w:cs="Times New Roman"/>
          <w:sz w:val="24"/>
          <w:szCs w:val="24"/>
        </w:rPr>
        <w:t xml:space="preserve"> once a week.</w:t>
      </w:r>
    </w:p>
    <w:p w14:paraId="0F9F7458"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My family sees me as someone who is often stressed about work.</w:t>
      </w:r>
    </w:p>
    <w:p w14:paraId="733F02CC"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 xml:space="preserve">I feel as though I often experience more work stress than my peers. </w:t>
      </w:r>
    </w:p>
    <w:p w14:paraId="535B3A1A" w14:textId="77777777" w:rsidR="003E5B95" w:rsidRPr="001B64F8" w:rsidRDefault="003E5B95" w:rsidP="003E5B95">
      <w:pPr>
        <w:pStyle w:val="ListParagraph"/>
        <w:keepNext/>
        <w:numPr>
          <w:ilvl w:val="0"/>
          <w:numId w:val="12"/>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 xml:space="preserve">I hardly ever think about how stressed I am. </w:t>
      </w:r>
    </w:p>
    <w:p w14:paraId="6DD0EA28" w14:textId="77777777" w:rsidR="003E5B95" w:rsidRPr="001B64F8" w:rsidRDefault="003E5B95" w:rsidP="003E5B95">
      <w:pPr>
        <w:pStyle w:val="ListParagraph"/>
        <w:numPr>
          <w:ilvl w:val="0"/>
          <w:numId w:val="11"/>
        </w:numPr>
        <w:spacing w:before="100" w:beforeAutospacing="1" w:after="100" w:afterAutospacing="1" w:line="480" w:lineRule="auto"/>
        <w:rPr>
          <w:rFonts w:ascii="Times New Roman" w:eastAsia="Times New Roman" w:hAnsi="Times New Roman" w:cs="Times New Roman"/>
          <w:sz w:val="24"/>
          <w:szCs w:val="24"/>
        </w:rPr>
      </w:pPr>
      <w:r w:rsidRPr="001B64F8">
        <w:rPr>
          <w:rFonts w:ascii="Times New Roman" w:eastAsia="Times New Roman" w:hAnsi="Times New Roman" w:cs="Times New Roman"/>
          <w:sz w:val="24"/>
          <w:szCs w:val="24"/>
        </w:rPr>
        <w:t>Which employee monitoring practices are you currently responsible for at your place of work? [list employee monitoring types].</w:t>
      </w:r>
    </w:p>
    <w:p w14:paraId="02B40442" w14:textId="77777777" w:rsidR="003E5B95" w:rsidRPr="001B64F8" w:rsidRDefault="003E5B95" w:rsidP="003E5B95">
      <w:pPr>
        <w:pStyle w:val="ListParagraph"/>
        <w:numPr>
          <w:ilvl w:val="0"/>
          <w:numId w:val="10"/>
        </w:numPr>
        <w:spacing w:before="240" w:after="240" w:line="480" w:lineRule="auto"/>
        <w:rPr>
          <w:rFonts w:ascii="Times New Roman" w:hAnsi="Times New Roman" w:cs="Times New Roman"/>
          <w:sz w:val="24"/>
          <w:szCs w:val="24"/>
        </w:rPr>
      </w:pPr>
      <w:r w:rsidRPr="001B64F8">
        <w:rPr>
          <w:rFonts w:ascii="Times New Roman" w:hAnsi="Times New Roman" w:cs="Times New Roman"/>
          <w:sz w:val="24"/>
          <w:szCs w:val="24"/>
        </w:rPr>
        <w:t xml:space="preserve">What EM/S practices have you implemented in your line of work? </w:t>
      </w:r>
    </w:p>
    <w:p w14:paraId="4F14180A" w14:textId="77777777" w:rsidR="003E5B95" w:rsidRPr="001B64F8" w:rsidRDefault="003E5B95" w:rsidP="003E5B95">
      <w:pPr>
        <w:pStyle w:val="ListParagraph"/>
        <w:numPr>
          <w:ilvl w:val="0"/>
          <w:numId w:val="10"/>
        </w:numPr>
        <w:spacing w:line="480" w:lineRule="auto"/>
        <w:rPr>
          <w:rFonts w:ascii="Times New Roman" w:hAnsi="Times New Roman" w:cs="Times New Roman"/>
          <w:sz w:val="24"/>
          <w:szCs w:val="24"/>
        </w:rPr>
      </w:pPr>
      <w:r w:rsidRPr="001B64F8">
        <w:rPr>
          <w:rFonts w:ascii="Times New Roman" w:hAnsi="Times New Roman" w:cs="Times New Roman"/>
          <w:sz w:val="24"/>
          <w:szCs w:val="24"/>
        </w:rPr>
        <w:t>How would you like to describe your experience with EM/S technology/practice in terms of being challenged (such as you feel contentment, excitement, and meaningfulness, etc.) or hindered (such as the feeling of anger, fear, anxiety, frustration, and burnout, etc.) with the conditions around your job?</w:t>
      </w:r>
    </w:p>
    <w:p w14:paraId="50EB1D16" w14:textId="77777777" w:rsidR="003E5B95" w:rsidRPr="007D31B0" w:rsidRDefault="003E5B95" w:rsidP="003E5B95">
      <w:pPr>
        <w:ind w:firstLine="0"/>
        <w:rPr>
          <w:rFonts w:cs="Times New Roman"/>
          <w:b/>
          <w:bCs/>
          <w:szCs w:val="24"/>
        </w:rPr>
      </w:pPr>
      <w:r w:rsidRPr="007D31B0">
        <w:rPr>
          <w:rFonts w:cs="Times New Roman"/>
          <w:b/>
          <w:bCs/>
          <w:szCs w:val="24"/>
        </w:rPr>
        <w:t>Experience and level of stress:</w:t>
      </w:r>
    </w:p>
    <w:p w14:paraId="66C7C396" w14:textId="77777777" w:rsidR="003E5B95" w:rsidRPr="001B64F8" w:rsidRDefault="003E5B95" w:rsidP="003E5B95">
      <w:pPr>
        <w:pStyle w:val="ListParagraph"/>
        <w:numPr>
          <w:ilvl w:val="0"/>
          <w:numId w:val="13"/>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Describe your experience with implementing and/or maintaining EM/S practices in the role as a cybersecurity professional at your current organization or with your previous employer?</w:t>
      </w:r>
    </w:p>
    <w:p w14:paraId="18A72F3B" w14:textId="77777777" w:rsidR="003E5B95" w:rsidRPr="001B64F8" w:rsidRDefault="003E5B95" w:rsidP="003E5B95">
      <w:pPr>
        <w:pStyle w:val="ListParagraph"/>
        <w:numPr>
          <w:ilvl w:val="0"/>
          <w:numId w:val="13"/>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lastRenderedPageBreak/>
        <w:t xml:space="preserve">How would you describe your experience/concern if you were one of the employees who are being subjected to the EM/S practices? </w:t>
      </w:r>
    </w:p>
    <w:p w14:paraId="60CBA6D3" w14:textId="77777777" w:rsidR="003E5B95" w:rsidRPr="001B64F8" w:rsidRDefault="003E5B95" w:rsidP="003E5B95">
      <w:pPr>
        <w:ind w:firstLine="0"/>
        <w:rPr>
          <w:rFonts w:cs="Times New Roman"/>
          <w:b/>
          <w:bCs/>
          <w:szCs w:val="24"/>
        </w:rPr>
      </w:pPr>
      <w:r w:rsidRPr="001B64F8">
        <w:rPr>
          <w:rFonts w:cs="Times New Roman"/>
          <w:b/>
          <w:bCs/>
          <w:szCs w:val="24"/>
        </w:rPr>
        <w:t>Causes and source of stress:</w:t>
      </w:r>
    </w:p>
    <w:p w14:paraId="7FCBD5EC" w14:textId="77777777" w:rsidR="003E5B95" w:rsidRPr="001B64F8" w:rsidRDefault="003E5B95" w:rsidP="003E5B95">
      <w:pPr>
        <w:pStyle w:val="ListParagraph"/>
        <w:numPr>
          <w:ilvl w:val="0"/>
          <w:numId w:val="14"/>
        </w:numPr>
        <w:spacing w:after="160" w:line="480" w:lineRule="auto"/>
        <w:ind w:left="720"/>
        <w:rPr>
          <w:rFonts w:ascii="Times New Roman" w:hAnsi="Times New Roman" w:cs="Times New Roman"/>
          <w:sz w:val="24"/>
          <w:szCs w:val="24"/>
        </w:rPr>
      </w:pPr>
      <w:r w:rsidRPr="001B64F8">
        <w:rPr>
          <w:rFonts w:ascii="Times New Roman" w:hAnsi="Times New Roman" w:cs="Times New Roman"/>
          <w:sz w:val="24"/>
          <w:szCs w:val="24"/>
        </w:rPr>
        <w:t>What contributes to your feeling of challenge vs hindrance stress as it relates to EM/S practices? In other words, do you think that EM/S practices may be a pleasurable/stressful experience to the employees who are (1) subjected to them or (2) implementing them?</w:t>
      </w:r>
    </w:p>
    <w:p w14:paraId="49DAC6CE" w14:textId="77777777" w:rsidR="003E5B95" w:rsidRPr="001B64F8" w:rsidRDefault="003E5B95" w:rsidP="003E5B95">
      <w:pPr>
        <w:pStyle w:val="ListParagraph"/>
        <w:numPr>
          <w:ilvl w:val="0"/>
          <w:numId w:val="14"/>
        </w:numPr>
        <w:spacing w:after="16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What are the specific characteristics of EM/S practice (technology) you may find enjoyable or motivating to do your job? </w:t>
      </w:r>
    </w:p>
    <w:p w14:paraId="6909A147" w14:textId="77777777" w:rsidR="003E5B95" w:rsidRPr="001B64F8" w:rsidRDefault="003E5B95" w:rsidP="003E5B95">
      <w:pPr>
        <w:pStyle w:val="ListParagraph"/>
        <w:numPr>
          <w:ilvl w:val="0"/>
          <w:numId w:val="14"/>
        </w:numPr>
        <w:spacing w:after="16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 What kind of stress would you experience from EM/S practices? For example, if you are being subjected to internet monitoring, will your stress experience relate to a breach of trust or privacy? </w:t>
      </w:r>
    </w:p>
    <w:p w14:paraId="317D15D5" w14:textId="77777777" w:rsidR="003E5B95" w:rsidRPr="001B64F8" w:rsidRDefault="003E5B95" w:rsidP="003E5B95">
      <w:pPr>
        <w:pStyle w:val="ListParagraph"/>
        <w:spacing w:line="480" w:lineRule="auto"/>
        <w:ind w:left="0"/>
        <w:rPr>
          <w:rFonts w:ascii="Times New Roman" w:hAnsi="Times New Roman" w:cs="Times New Roman"/>
          <w:b/>
          <w:bCs/>
          <w:sz w:val="24"/>
          <w:szCs w:val="24"/>
        </w:rPr>
      </w:pPr>
      <w:r w:rsidRPr="001B64F8">
        <w:rPr>
          <w:rFonts w:ascii="Times New Roman" w:hAnsi="Times New Roman" w:cs="Times New Roman"/>
          <w:b/>
          <w:bCs/>
          <w:sz w:val="24"/>
          <w:szCs w:val="24"/>
        </w:rPr>
        <w:t>Coping:</w:t>
      </w:r>
    </w:p>
    <w:p w14:paraId="26BB5B94" w14:textId="77777777" w:rsidR="003E5B95" w:rsidRPr="001B64F8" w:rsidRDefault="003E5B95" w:rsidP="003E5B95">
      <w:pPr>
        <w:pStyle w:val="ListParagraph"/>
        <w:spacing w:line="480" w:lineRule="auto"/>
        <w:ind w:left="360"/>
        <w:rPr>
          <w:rFonts w:ascii="Times New Roman" w:hAnsi="Times New Roman" w:cs="Times New Roman"/>
          <w:sz w:val="24"/>
          <w:szCs w:val="24"/>
        </w:rPr>
      </w:pPr>
      <w:r w:rsidRPr="001B64F8">
        <w:rPr>
          <w:rFonts w:ascii="Times New Roman" w:hAnsi="Times New Roman" w:cs="Times New Roman"/>
          <w:sz w:val="24"/>
          <w:szCs w:val="24"/>
        </w:rPr>
        <w:t>1. What helps you to manage your emotions at work as they may relate to EMS? In other words, what are the specific ways in which you cope with the emotions at work-related to EM/S? For example, if EMS practice makes your job easy or more enjoyable, how would you go around it? Do you try to engage with it more to dampen or savor the feeling of enjoyment? OR you try to disengage yourself with it? What would your emotional response be?</w:t>
      </w:r>
    </w:p>
    <w:p w14:paraId="7CB51660" w14:textId="77777777" w:rsidR="003E5B95" w:rsidRPr="001B64F8" w:rsidRDefault="003E5B95" w:rsidP="003E5B95">
      <w:pPr>
        <w:ind w:firstLine="0"/>
        <w:rPr>
          <w:rFonts w:cs="Times New Roman"/>
          <w:b/>
          <w:bCs/>
          <w:szCs w:val="24"/>
        </w:rPr>
      </w:pPr>
      <w:r w:rsidRPr="001B64F8">
        <w:rPr>
          <w:rFonts w:cs="Times New Roman"/>
          <w:b/>
          <w:bCs/>
          <w:szCs w:val="24"/>
        </w:rPr>
        <w:t>Consequences:</w:t>
      </w:r>
    </w:p>
    <w:p w14:paraId="4A286A5E" w14:textId="77777777" w:rsidR="003E5B95" w:rsidRPr="001B64F8" w:rsidRDefault="003E5B95" w:rsidP="003E5B95">
      <w:pPr>
        <w:pStyle w:val="ListParagraph"/>
        <w:numPr>
          <w:ilvl w:val="0"/>
          <w:numId w:val="15"/>
        </w:numPr>
        <w:spacing w:after="160" w:line="480" w:lineRule="auto"/>
        <w:rPr>
          <w:rFonts w:ascii="Times New Roman" w:hAnsi="Times New Roman" w:cs="Times New Roman"/>
          <w:sz w:val="24"/>
          <w:szCs w:val="24"/>
        </w:rPr>
      </w:pPr>
      <w:r w:rsidRPr="001B64F8">
        <w:rPr>
          <w:rFonts w:ascii="Times New Roman" w:hAnsi="Times New Roman" w:cs="Times New Roman"/>
          <w:sz w:val="24"/>
          <w:szCs w:val="24"/>
        </w:rPr>
        <w:t xml:space="preserve">How does your work experience affect you? For example, if you are feeling motivated to take the EMS implementation, how does it affect you? OR if you see it </w:t>
      </w:r>
      <w:r>
        <w:rPr>
          <w:rFonts w:ascii="Times New Roman" w:hAnsi="Times New Roman" w:cs="Times New Roman"/>
          <w:sz w:val="24"/>
          <w:szCs w:val="24"/>
        </w:rPr>
        <w:t xml:space="preserve">as </w:t>
      </w:r>
      <w:r w:rsidRPr="001B64F8">
        <w:rPr>
          <w:rFonts w:ascii="Times New Roman" w:hAnsi="Times New Roman" w:cs="Times New Roman"/>
          <w:sz w:val="24"/>
          <w:szCs w:val="24"/>
        </w:rPr>
        <w:t>something that is hindering your work performance/goals what your experiences be?</w:t>
      </w:r>
    </w:p>
    <w:p w14:paraId="0B857DFB" w14:textId="77777777" w:rsidR="003E5B95" w:rsidRPr="001B64F8" w:rsidRDefault="003E5B95" w:rsidP="003E5B95">
      <w:pPr>
        <w:rPr>
          <w:rFonts w:cs="Times New Roman"/>
          <w:szCs w:val="24"/>
        </w:rPr>
      </w:pPr>
      <w:r w:rsidRPr="001B64F8">
        <w:rPr>
          <w:rFonts w:cs="Times New Roman"/>
          <w:szCs w:val="24"/>
        </w:rPr>
        <w:lastRenderedPageBreak/>
        <w:t>As we finish this interview, we would like to know a little more about you in terms of your demographic information.</w:t>
      </w:r>
    </w:p>
    <w:p w14:paraId="1B3EB3E4" w14:textId="77777777" w:rsidR="003E5B95" w:rsidRPr="001B64F8" w:rsidRDefault="003E5B95" w:rsidP="003E5B95">
      <w:pPr>
        <w:ind w:firstLine="0"/>
        <w:rPr>
          <w:rFonts w:cs="Times New Roman"/>
          <w:b/>
          <w:bCs/>
          <w:szCs w:val="24"/>
        </w:rPr>
      </w:pPr>
      <w:r w:rsidRPr="001B64F8">
        <w:rPr>
          <w:rFonts w:cs="Times New Roman"/>
          <w:b/>
          <w:bCs/>
          <w:szCs w:val="24"/>
        </w:rPr>
        <w:t>Demographics:</w:t>
      </w:r>
    </w:p>
    <w:p w14:paraId="4F880406"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Please state your gender. </w:t>
      </w:r>
    </w:p>
    <w:p w14:paraId="300F3DFC"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Please state your level of education.</w:t>
      </w:r>
    </w:p>
    <w:p w14:paraId="53C9C449"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Please state your job role or job title within your organization. </w:t>
      </w:r>
    </w:p>
    <w:p w14:paraId="7E7C1941"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Please state your age.</w:t>
      </w:r>
    </w:p>
    <w:p w14:paraId="79E1D2AA"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How long have you been employed by your organization?</w:t>
      </w:r>
    </w:p>
    <w:p w14:paraId="675BADEE"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What kind of EM/S technologies have you encountered at your previous places of employment? </w:t>
      </w:r>
    </w:p>
    <w:p w14:paraId="432C6C23"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How long you have implemented and/or EM/S technologies at your workplace?</w:t>
      </w:r>
    </w:p>
    <w:p w14:paraId="1A3D4B0A" w14:textId="77777777" w:rsidR="003E5B95" w:rsidRPr="001B64F8" w:rsidRDefault="003E5B95" w:rsidP="003E5B95">
      <w:pPr>
        <w:pStyle w:val="ListParagraph"/>
        <w:numPr>
          <w:ilvl w:val="0"/>
          <w:numId w:val="9"/>
        </w:numPr>
        <w:spacing w:after="200" w:line="480" w:lineRule="auto"/>
        <w:ind w:left="720"/>
        <w:rPr>
          <w:rFonts w:ascii="Times New Roman" w:hAnsi="Times New Roman" w:cs="Times New Roman"/>
          <w:sz w:val="24"/>
          <w:szCs w:val="24"/>
        </w:rPr>
      </w:pPr>
      <w:r w:rsidRPr="001B64F8">
        <w:rPr>
          <w:rFonts w:ascii="Times New Roman" w:hAnsi="Times New Roman" w:cs="Times New Roman"/>
          <w:sz w:val="24"/>
          <w:szCs w:val="24"/>
        </w:rPr>
        <w:t xml:space="preserve">If you are (were) not part of </w:t>
      </w:r>
      <w:r>
        <w:rPr>
          <w:rFonts w:ascii="Times New Roman" w:hAnsi="Times New Roman" w:cs="Times New Roman"/>
          <w:sz w:val="24"/>
          <w:szCs w:val="24"/>
        </w:rPr>
        <w:t xml:space="preserve">the </w:t>
      </w:r>
      <w:r w:rsidRPr="001B64F8">
        <w:rPr>
          <w:rFonts w:ascii="Times New Roman" w:hAnsi="Times New Roman" w:cs="Times New Roman"/>
          <w:sz w:val="24"/>
          <w:szCs w:val="24"/>
        </w:rPr>
        <w:t>implementation or maintenance of EM/S practices in your organization, how long you have been subjected to EM/S practices in your organization?</w:t>
      </w:r>
    </w:p>
    <w:p w14:paraId="3C748DAF" w14:textId="77777777" w:rsidR="003E5B95" w:rsidRDefault="003E5B95" w:rsidP="003E5B95">
      <w:pPr>
        <w:spacing w:after="160" w:line="259" w:lineRule="auto"/>
        <w:ind w:firstLine="0"/>
        <w:contextualSpacing w:val="0"/>
        <w:rPr>
          <w:rFonts w:cs="Times New Roman"/>
          <w:b/>
          <w:bCs/>
          <w:color w:val="000000"/>
          <w:kern w:val="0"/>
          <w:szCs w:val="24"/>
          <w:lang w:eastAsia="en-US"/>
        </w:rPr>
        <w:sectPr w:rsidR="003E5B95" w:rsidSect="00DF56B1">
          <w:pgSz w:w="12240" w:h="15840" w:code="1"/>
          <w:pgMar w:top="1440" w:right="1440" w:bottom="1440" w:left="1440" w:header="720" w:footer="720" w:gutter="0"/>
          <w:cols w:space="720"/>
          <w:docGrid w:linePitch="360"/>
        </w:sectPr>
      </w:pPr>
    </w:p>
    <w:p w14:paraId="5E6C3E40" w14:textId="77777777" w:rsidR="003E5B95" w:rsidRPr="00AC29E4" w:rsidRDefault="003E5B95" w:rsidP="003E5B95">
      <w:pPr>
        <w:spacing w:after="160" w:line="259" w:lineRule="auto"/>
        <w:ind w:firstLine="0"/>
        <w:contextualSpacing w:val="0"/>
        <w:rPr>
          <w:rFonts w:cs="Times New Roman"/>
          <w:b/>
          <w:bCs/>
          <w:color w:val="000000"/>
          <w:kern w:val="0"/>
          <w:szCs w:val="24"/>
          <w:lang w:eastAsia="en-US"/>
        </w:rPr>
      </w:pPr>
    </w:p>
    <w:p w14:paraId="799D089E" w14:textId="77777777" w:rsidR="003E5B95" w:rsidRPr="009A5CA0" w:rsidRDefault="003E5B95" w:rsidP="003E5B95">
      <w:pPr>
        <w:pStyle w:val="Heading1"/>
        <w:rPr>
          <w:b/>
          <w:bCs/>
          <w:lang w:eastAsia="en-US"/>
        </w:rPr>
      </w:pPr>
      <w:bookmarkStart w:id="292" w:name="_Toc74087556"/>
      <w:bookmarkStart w:id="293" w:name="_Toc74258672"/>
      <w:bookmarkStart w:id="294" w:name="_Toc74045271"/>
      <w:r w:rsidRPr="009A5CA0">
        <w:rPr>
          <w:b/>
          <w:bCs/>
          <w:lang w:eastAsia="en-US"/>
        </w:rPr>
        <w:t>APPENDIX G: QUALITATIVE STUDY RESULTS</w:t>
      </w:r>
      <w:bookmarkEnd w:id="292"/>
      <w:bookmarkEnd w:id="293"/>
      <w:r w:rsidRPr="009A5CA0">
        <w:rPr>
          <w:b/>
          <w:bCs/>
          <w:lang w:eastAsia="en-US"/>
        </w:rPr>
        <w:t xml:space="preserve"> </w:t>
      </w:r>
    </w:p>
    <w:p w14:paraId="1860A0C5" w14:textId="77777777" w:rsidR="003E5B95" w:rsidRDefault="003E5B95" w:rsidP="003E5B95">
      <w:pPr>
        <w:pStyle w:val="Caption"/>
        <w:keepNext/>
        <w:spacing w:line="480" w:lineRule="auto"/>
        <w:rPr>
          <w:sz w:val="24"/>
          <w:szCs w:val="24"/>
        </w:rPr>
      </w:pPr>
      <w:bookmarkStart w:id="295" w:name="_Toc73955267"/>
      <w:bookmarkStart w:id="296" w:name="_Toc74074428"/>
      <w:bookmarkEnd w:id="294"/>
      <w:r w:rsidRPr="00AA2FC3">
        <w:rPr>
          <w:sz w:val="24"/>
          <w:szCs w:val="24"/>
        </w:rPr>
        <w:t xml:space="preserve">Table </w:t>
      </w:r>
      <w:r>
        <w:rPr>
          <w:sz w:val="24"/>
          <w:szCs w:val="24"/>
        </w:rPr>
        <w:t>G1</w:t>
      </w:r>
      <w:r w:rsidRPr="00AA2FC3">
        <w:rPr>
          <w:sz w:val="24"/>
          <w:szCs w:val="24"/>
        </w:rPr>
        <w:t xml:space="preserve"> </w:t>
      </w:r>
      <w:bookmarkStart w:id="297" w:name="_Toc73917987"/>
    </w:p>
    <w:p w14:paraId="4E045359" w14:textId="77777777" w:rsidR="003E5B95" w:rsidRPr="00AA2FC3" w:rsidRDefault="003E5B95" w:rsidP="003E5B95">
      <w:pPr>
        <w:pStyle w:val="Caption"/>
        <w:keepNext/>
        <w:spacing w:line="480" w:lineRule="auto"/>
        <w:rPr>
          <w:b w:val="0"/>
          <w:bCs/>
          <w:i/>
          <w:iCs w:val="0"/>
          <w:sz w:val="24"/>
          <w:szCs w:val="24"/>
        </w:rPr>
      </w:pPr>
      <w:r w:rsidRPr="00AA2FC3">
        <w:rPr>
          <w:b w:val="0"/>
          <w:bCs/>
          <w:i/>
          <w:iCs w:val="0"/>
          <w:sz w:val="24"/>
          <w:szCs w:val="24"/>
        </w:rPr>
        <w:t>Participants</w:t>
      </w:r>
      <w:r>
        <w:rPr>
          <w:b w:val="0"/>
          <w:bCs/>
          <w:i/>
          <w:iCs w:val="0"/>
          <w:sz w:val="24"/>
          <w:szCs w:val="24"/>
        </w:rPr>
        <w:t>’</w:t>
      </w:r>
      <w:r w:rsidRPr="00AA2FC3">
        <w:rPr>
          <w:b w:val="0"/>
          <w:bCs/>
          <w:i/>
          <w:iCs w:val="0"/>
          <w:sz w:val="24"/>
          <w:szCs w:val="24"/>
        </w:rPr>
        <w:t xml:space="preserve"> Characteristics in the Qualitative Study</w:t>
      </w:r>
      <w:bookmarkEnd w:id="295"/>
      <w:bookmarkEnd w:id="296"/>
      <w:bookmarkEnd w:id="297"/>
    </w:p>
    <w:tbl>
      <w:tblPr>
        <w:tblStyle w:val="PlainTable4"/>
        <w:tblW w:w="5000" w:type="pct"/>
        <w:tblBorders>
          <w:top w:val="single" w:sz="4" w:space="0" w:color="auto"/>
          <w:bottom w:val="single" w:sz="4" w:space="0" w:color="auto"/>
        </w:tblBorders>
        <w:tblLayout w:type="fixed"/>
        <w:tblLook w:val="04A0" w:firstRow="1" w:lastRow="0" w:firstColumn="1" w:lastColumn="0" w:noHBand="0" w:noVBand="1"/>
      </w:tblPr>
      <w:tblGrid>
        <w:gridCol w:w="2159"/>
        <w:gridCol w:w="2159"/>
        <w:gridCol w:w="2162"/>
        <w:gridCol w:w="2159"/>
        <w:gridCol w:w="2159"/>
        <w:gridCol w:w="2162"/>
      </w:tblGrid>
      <w:tr w:rsidR="003E5B95" w:rsidRPr="00FA0365" w14:paraId="4494A2EA" w14:textId="77777777" w:rsidTr="00FA0365">
        <w:trPr>
          <w:cnfStyle w:val="100000000000" w:firstRow="1" w:lastRow="0" w:firstColumn="0" w:lastColumn="0" w:oddVBand="0" w:evenVBand="0" w:oddHBand="0" w:evenHBand="0" w:firstRowFirstColumn="0" w:firstRowLastColumn="0" w:lastRowFirstColumn="0" w:lastRowLastColumn="0"/>
          <w:trHeight w:val="759"/>
          <w:tblHeader/>
        </w:trPr>
        <w:tc>
          <w:tcPr>
            <w:cnfStyle w:val="001000000000" w:firstRow="0" w:lastRow="0" w:firstColumn="1" w:lastColumn="0" w:oddVBand="0" w:evenVBand="0" w:oddHBand="0" w:evenHBand="0" w:firstRowFirstColumn="0" w:firstRowLastColumn="0" w:lastRowFirstColumn="0" w:lastRowLastColumn="0"/>
            <w:tcW w:w="833" w:type="pct"/>
            <w:tcBorders>
              <w:top w:val="single" w:sz="4" w:space="0" w:color="auto"/>
              <w:bottom w:val="single" w:sz="4" w:space="0" w:color="auto"/>
            </w:tcBorders>
            <w:noWrap/>
            <w:hideMark/>
          </w:tcPr>
          <w:p w14:paraId="16FE5680" w14:textId="7777777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Participant</w:t>
            </w:r>
          </w:p>
          <w:p w14:paraId="364925D2" w14:textId="7777777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(Gender, Education)</w:t>
            </w:r>
          </w:p>
        </w:tc>
        <w:tc>
          <w:tcPr>
            <w:tcW w:w="833" w:type="pct"/>
            <w:tcBorders>
              <w:top w:val="single" w:sz="4" w:space="0" w:color="auto"/>
              <w:bottom w:val="single" w:sz="4" w:space="0" w:color="auto"/>
            </w:tcBorders>
          </w:tcPr>
          <w:p w14:paraId="2F3CC168"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Age (years)</w:t>
            </w:r>
          </w:p>
        </w:tc>
        <w:tc>
          <w:tcPr>
            <w:tcW w:w="834" w:type="pct"/>
            <w:tcBorders>
              <w:top w:val="single" w:sz="4" w:space="0" w:color="auto"/>
              <w:bottom w:val="single" w:sz="4" w:space="0" w:color="auto"/>
            </w:tcBorders>
          </w:tcPr>
          <w:p w14:paraId="48D47DA2"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EMS experience</w:t>
            </w:r>
          </w:p>
          <w:p w14:paraId="1AE49B4D"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(years)</w:t>
            </w:r>
          </w:p>
        </w:tc>
        <w:tc>
          <w:tcPr>
            <w:tcW w:w="833" w:type="pct"/>
            <w:tcBorders>
              <w:top w:val="single" w:sz="4" w:space="0" w:color="auto"/>
              <w:bottom w:val="single" w:sz="4" w:space="0" w:color="auto"/>
            </w:tcBorders>
            <w:hideMark/>
          </w:tcPr>
          <w:p w14:paraId="4F269E95"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Job Title</w:t>
            </w:r>
          </w:p>
        </w:tc>
        <w:tc>
          <w:tcPr>
            <w:tcW w:w="833" w:type="pct"/>
            <w:tcBorders>
              <w:top w:val="single" w:sz="4" w:space="0" w:color="auto"/>
              <w:bottom w:val="single" w:sz="4" w:space="0" w:color="auto"/>
            </w:tcBorders>
            <w:hideMark/>
          </w:tcPr>
          <w:p w14:paraId="179E8A28"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Industry</w:t>
            </w:r>
          </w:p>
        </w:tc>
        <w:tc>
          <w:tcPr>
            <w:tcW w:w="834" w:type="pct"/>
            <w:tcBorders>
              <w:top w:val="single" w:sz="4" w:space="0" w:color="auto"/>
              <w:bottom w:val="single" w:sz="4" w:space="0" w:color="auto"/>
            </w:tcBorders>
            <w:hideMark/>
          </w:tcPr>
          <w:p w14:paraId="3826D3B5" w14:textId="77777777" w:rsidR="003E5B95" w:rsidRPr="00FA03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Work Force Category (NIST/NICE Framework)</w:t>
            </w:r>
          </w:p>
        </w:tc>
      </w:tr>
      <w:tr w:rsidR="003E5B95" w:rsidRPr="00FA0365" w14:paraId="1296327E"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tcBorders>
              <w:top w:val="single" w:sz="4" w:space="0" w:color="auto"/>
            </w:tcBorders>
            <w:noWrap/>
            <w:hideMark/>
          </w:tcPr>
          <w:p w14:paraId="153AD4E2" w14:textId="17AA42EB"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M.B.A.)</w:t>
            </w:r>
          </w:p>
        </w:tc>
        <w:tc>
          <w:tcPr>
            <w:tcW w:w="833" w:type="pct"/>
            <w:tcBorders>
              <w:top w:val="single" w:sz="4" w:space="0" w:color="auto"/>
            </w:tcBorders>
          </w:tcPr>
          <w:p w14:paraId="0D05AED5"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35</w:t>
            </w:r>
          </w:p>
        </w:tc>
        <w:tc>
          <w:tcPr>
            <w:tcW w:w="834" w:type="pct"/>
            <w:tcBorders>
              <w:top w:val="single" w:sz="4" w:space="0" w:color="auto"/>
            </w:tcBorders>
          </w:tcPr>
          <w:p w14:paraId="2E10D4D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5</w:t>
            </w:r>
          </w:p>
        </w:tc>
        <w:tc>
          <w:tcPr>
            <w:tcW w:w="833" w:type="pct"/>
            <w:tcBorders>
              <w:top w:val="single" w:sz="4" w:space="0" w:color="auto"/>
            </w:tcBorders>
            <w:hideMark/>
          </w:tcPr>
          <w:p w14:paraId="56C2A73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Vice President, and Director of Information Security</w:t>
            </w:r>
          </w:p>
        </w:tc>
        <w:tc>
          <w:tcPr>
            <w:tcW w:w="833" w:type="pct"/>
            <w:tcBorders>
              <w:top w:val="single" w:sz="4" w:space="0" w:color="auto"/>
            </w:tcBorders>
            <w:hideMark/>
          </w:tcPr>
          <w:p w14:paraId="04965BD4"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Finance</w:t>
            </w:r>
          </w:p>
        </w:tc>
        <w:tc>
          <w:tcPr>
            <w:tcW w:w="834" w:type="pct"/>
            <w:tcBorders>
              <w:top w:val="single" w:sz="4" w:space="0" w:color="auto"/>
            </w:tcBorders>
            <w:noWrap/>
            <w:hideMark/>
          </w:tcPr>
          <w:p w14:paraId="174D7BE1"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1CAE2801"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271BD7C1" w14:textId="2474C541"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P2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Ph.D.)</w:t>
            </w:r>
          </w:p>
        </w:tc>
        <w:tc>
          <w:tcPr>
            <w:tcW w:w="833" w:type="pct"/>
          </w:tcPr>
          <w:p w14:paraId="7230C1A1"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30</w:t>
            </w:r>
          </w:p>
        </w:tc>
        <w:tc>
          <w:tcPr>
            <w:tcW w:w="834" w:type="pct"/>
          </w:tcPr>
          <w:p w14:paraId="5381385F"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7</w:t>
            </w:r>
          </w:p>
        </w:tc>
        <w:tc>
          <w:tcPr>
            <w:tcW w:w="833" w:type="pct"/>
            <w:hideMark/>
          </w:tcPr>
          <w:p w14:paraId="1F5C6A28"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Principle Information Security Engineer</w:t>
            </w:r>
          </w:p>
        </w:tc>
        <w:tc>
          <w:tcPr>
            <w:tcW w:w="833" w:type="pct"/>
            <w:hideMark/>
          </w:tcPr>
          <w:p w14:paraId="37614B9C"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Computer and Information Technology</w:t>
            </w:r>
          </w:p>
        </w:tc>
        <w:tc>
          <w:tcPr>
            <w:tcW w:w="834" w:type="pct"/>
            <w:noWrap/>
            <w:hideMark/>
          </w:tcPr>
          <w:p w14:paraId="2A9E79AA"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Analyst</w:t>
            </w:r>
          </w:p>
        </w:tc>
      </w:tr>
      <w:tr w:rsidR="003E5B95" w:rsidRPr="00FA0365" w14:paraId="3E808368"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60417F82" w14:textId="5D622F56"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P3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4BC59390"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48</w:t>
            </w:r>
          </w:p>
        </w:tc>
        <w:tc>
          <w:tcPr>
            <w:tcW w:w="834" w:type="pct"/>
          </w:tcPr>
          <w:p w14:paraId="75BAE662"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14</w:t>
            </w:r>
          </w:p>
        </w:tc>
        <w:tc>
          <w:tcPr>
            <w:tcW w:w="833" w:type="pct"/>
            <w:hideMark/>
          </w:tcPr>
          <w:p w14:paraId="1E252D19"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Solution Engineer</w:t>
            </w:r>
          </w:p>
        </w:tc>
        <w:tc>
          <w:tcPr>
            <w:tcW w:w="833" w:type="pct"/>
            <w:hideMark/>
          </w:tcPr>
          <w:p w14:paraId="133FD65A"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Academic</w:t>
            </w:r>
          </w:p>
        </w:tc>
        <w:tc>
          <w:tcPr>
            <w:tcW w:w="834" w:type="pct"/>
            <w:hideMark/>
          </w:tcPr>
          <w:p w14:paraId="130EEC00"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Operate and maintain, analyst</w:t>
            </w:r>
          </w:p>
        </w:tc>
      </w:tr>
      <w:tr w:rsidR="003E5B95" w:rsidRPr="00FA0365" w14:paraId="50700FD9"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633E0A97" w14:textId="3E4B0A46"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P4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M.S.)</w:t>
            </w:r>
          </w:p>
        </w:tc>
        <w:tc>
          <w:tcPr>
            <w:tcW w:w="833" w:type="pct"/>
          </w:tcPr>
          <w:p w14:paraId="5E292C9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36</w:t>
            </w:r>
          </w:p>
        </w:tc>
        <w:tc>
          <w:tcPr>
            <w:tcW w:w="834" w:type="pct"/>
          </w:tcPr>
          <w:p w14:paraId="6CA00EEB"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13</w:t>
            </w:r>
          </w:p>
        </w:tc>
        <w:tc>
          <w:tcPr>
            <w:tcW w:w="833" w:type="pct"/>
            <w:hideMark/>
          </w:tcPr>
          <w:p w14:paraId="53692F7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Manager Information Security</w:t>
            </w:r>
          </w:p>
        </w:tc>
        <w:tc>
          <w:tcPr>
            <w:tcW w:w="833" w:type="pct"/>
            <w:hideMark/>
          </w:tcPr>
          <w:p w14:paraId="054E462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Healthcare (Hospital)</w:t>
            </w:r>
          </w:p>
        </w:tc>
        <w:tc>
          <w:tcPr>
            <w:tcW w:w="834" w:type="pct"/>
            <w:hideMark/>
          </w:tcPr>
          <w:p w14:paraId="26E5941E"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Oversee and govern, </w:t>
            </w:r>
            <w:proofErr w:type="gramStart"/>
            <w:r w:rsidRPr="00FA0365">
              <w:rPr>
                <w:rFonts w:eastAsia="Times New Roman" w:cs="Times New Roman"/>
                <w:color w:val="000000"/>
                <w:kern w:val="0"/>
                <w:szCs w:val="24"/>
                <w:lang w:eastAsia="en-US"/>
              </w:rPr>
              <w:t>protect</w:t>
            </w:r>
            <w:proofErr w:type="gramEnd"/>
            <w:r w:rsidRPr="00FA0365">
              <w:rPr>
                <w:rFonts w:eastAsia="Times New Roman" w:cs="Times New Roman"/>
                <w:color w:val="000000"/>
                <w:kern w:val="0"/>
                <w:szCs w:val="24"/>
                <w:lang w:eastAsia="en-US"/>
              </w:rPr>
              <w:t xml:space="preserve"> and defend</w:t>
            </w:r>
          </w:p>
        </w:tc>
      </w:tr>
      <w:tr w:rsidR="003E5B95" w:rsidRPr="00FA0365" w14:paraId="479984A8"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761CE693" w14:textId="71A75B85"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P5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xml:space="preserve">, M.S., </w:t>
            </w:r>
            <w:proofErr w:type="spellStart"/>
            <w:proofErr w:type="gramStart"/>
            <w:r w:rsidRPr="00FA0365">
              <w:rPr>
                <w:rFonts w:eastAsia="Times New Roman" w:cs="Times New Roman"/>
                <w:b w:val="0"/>
                <w:bCs w:val="0"/>
                <w:color w:val="000000"/>
                <w:kern w:val="0"/>
                <w:szCs w:val="24"/>
                <w:lang w:eastAsia="en-US"/>
              </w:rPr>
              <w:t>E.Ed</w:t>
            </w:r>
            <w:proofErr w:type="spellEnd"/>
            <w:proofErr w:type="gramEnd"/>
            <w:r w:rsidRPr="00FA0365">
              <w:rPr>
                <w:rFonts w:eastAsia="Times New Roman" w:cs="Times New Roman"/>
                <w:b w:val="0"/>
                <w:bCs w:val="0"/>
                <w:color w:val="000000"/>
                <w:kern w:val="0"/>
                <w:szCs w:val="24"/>
                <w:lang w:eastAsia="en-US"/>
              </w:rPr>
              <w:t>)</w:t>
            </w:r>
          </w:p>
        </w:tc>
        <w:tc>
          <w:tcPr>
            <w:tcW w:w="833" w:type="pct"/>
          </w:tcPr>
          <w:p w14:paraId="4DC68113"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54</w:t>
            </w:r>
          </w:p>
        </w:tc>
        <w:tc>
          <w:tcPr>
            <w:tcW w:w="834" w:type="pct"/>
          </w:tcPr>
          <w:p w14:paraId="5352907D"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22</w:t>
            </w:r>
          </w:p>
        </w:tc>
        <w:tc>
          <w:tcPr>
            <w:tcW w:w="833" w:type="pct"/>
            <w:hideMark/>
          </w:tcPr>
          <w:p w14:paraId="217DFC67"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Senior Assistant Vice President</w:t>
            </w:r>
          </w:p>
        </w:tc>
        <w:tc>
          <w:tcPr>
            <w:tcW w:w="833" w:type="pct"/>
            <w:hideMark/>
          </w:tcPr>
          <w:p w14:paraId="7948D1F5"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Consulting</w:t>
            </w:r>
          </w:p>
        </w:tc>
        <w:tc>
          <w:tcPr>
            <w:tcW w:w="834" w:type="pct"/>
            <w:noWrap/>
            <w:hideMark/>
          </w:tcPr>
          <w:p w14:paraId="79AB9C5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5A137ADB"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6782ECC8" w14:textId="2CC7A68B"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P6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4-year college)</w:t>
            </w:r>
          </w:p>
        </w:tc>
        <w:tc>
          <w:tcPr>
            <w:tcW w:w="833" w:type="pct"/>
          </w:tcPr>
          <w:p w14:paraId="24C2A700"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48</w:t>
            </w:r>
          </w:p>
        </w:tc>
        <w:tc>
          <w:tcPr>
            <w:tcW w:w="834" w:type="pct"/>
          </w:tcPr>
          <w:p w14:paraId="5A8D6585"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10</w:t>
            </w:r>
          </w:p>
        </w:tc>
        <w:tc>
          <w:tcPr>
            <w:tcW w:w="833" w:type="pct"/>
            <w:hideMark/>
          </w:tcPr>
          <w:p w14:paraId="7D7C73D5"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Network Engineer (Systems Administrator)</w:t>
            </w:r>
          </w:p>
        </w:tc>
        <w:tc>
          <w:tcPr>
            <w:tcW w:w="833" w:type="pct"/>
            <w:hideMark/>
          </w:tcPr>
          <w:p w14:paraId="2A74AE63"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Academic</w:t>
            </w:r>
          </w:p>
        </w:tc>
        <w:tc>
          <w:tcPr>
            <w:tcW w:w="834" w:type="pct"/>
            <w:noWrap/>
            <w:hideMark/>
          </w:tcPr>
          <w:p w14:paraId="5952D71E"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Operate and maintain</w:t>
            </w:r>
          </w:p>
        </w:tc>
      </w:tr>
      <w:tr w:rsidR="003E5B95" w:rsidRPr="00FA0365" w14:paraId="3C91361B"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385CFF0C" w14:textId="04C5FE3D"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P7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62B140E1"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60</w:t>
            </w:r>
          </w:p>
        </w:tc>
        <w:tc>
          <w:tcPr>
            <w:tcW w:w="834" w:type="pct"/>
          </w:tcPr>
          <w:p w14:paraId="4512E98E"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15</w:t>
            </w:r>
          </w:p>
        </w:tc>
        <w:tc>
          <w:tcPr>
            <w:tcW w:w="833" w:type="pct"/>
            <w:hideMark/>
          </w:tcPr>
          <w:p w14:paraId="0196C30F"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Partner </w:t>
            </w:r>
          </w:p>
        </w:tc>
        <w:tc>
          <w:tcPr>
            <w:tcW w:w="833" w:type="pct"/>
            <w:hideMark/>
          </w:tcPr>
          <w:p w14:paraId="0FC5BB18"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Consulting</w:t>
            </w:r>
          </w:p>
        </w:tc>
        <w:tc>
          <w:tcPr>
            <w:tcW w:w="834" w:type="pct"/>
            <w:noWrap/>
            <w:hideMark/>
          </w:tcPr>
          <w:p w14:paraId="2FA73461"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1A84DDB7"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29D5893B" w14:textId="77C0BB73"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lastRenderedPageBreak/>
              <w:t>P8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7FFE6F4D"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66</w:t>
            </w:r>
          </w:p>
        </w:tc>
        <w:tc>
          <w:tcPr>
            <w:tcW w:w="834" w:type="pct"/>
          </w:tcPr>
          <w:p w14:paraId="5F00D921"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40</w:t>
            </w:r>
          </w:p>
        </w:tc>
        <w:tc>
          <w:tcPr>
            <w:tcW w:w="833" w:type="pct"/>
            <w:hideMark/>
          </w:tcPr>
          <w:p w14:paraId="3E96A01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Chief Information Security Officer</w:t>
            </w:r>
          </w:p>
        </w:tc>
        <w:tc>
          <w:tcPr>
            <w:tcW w:w="833" w:type="pct"/>
            <w:hideMark/>
          </w:tcPr>
          <w:p w14:paraId="3387F7FB"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Academic</w:t>
            </w:r>
          </w:p>
        </w:tc>
        <w:tc>
          <w:tcPr>
            <w:tcW w:w="834" w:type="pct"/>
            <w:noWrap/>
            <w:hideMark/>
          </w:tcPr>
          <w:p w14:paraId="0241346D"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5E36175F"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763A7E16" w14:textId="5777A091"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P9 (F</w:t>
            </w:r>
            <w:r w:rsidR="00F77CB8">
              <w:rPr>
                <w:rFonts w:eastAsia="Times New Roman" w:cs="Times New Roman"/>
                <w:b w:val="0"/>
                <w:bCs w:val="0"/>
                <w:color w:val="000000"/>
                <w:kern w:val="0"/>
                <w:szCs w:val="24"/>
                <w:lang w:eastAsia="en-US"/>
              </w:rPr>
              <w:t>emale</w:t>
            </w:r>
            <w:r w:rsidRPr="00FA0365">
              <w:rPr>
                <w:rFonts w:eastAsia="Times New Roman" w:cs="Times New Roman"/>
                <w:b w:val="0"/>
                <w:bCs w:val="0"/>
                <w:color w:val="000000"/>
                <w:kern w:val="0"/>
                <w:szCs w:val="24"/>
                <w:lang w:eastAsia="en-US"/>
              </w:rPr>
              <w:t>, B.S.)</w:t>
            </w:r>
          </w:p>
        </w:tc>
        <w:tc>
          <w:tcPr>
            <w:tcW w:w="833" w:type="pct"/>
          </w:tcPr>
          <w:p w14:paraId="3D04033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24</w:t>
            </w:r>
          </w:p>
        </w:tc>
        <w:tc>
          <w:tcPr>
            <w:tcW w:w="834" w:type="pct"/>
          </w:tcPr>
          <w:p w14:paraId="5DFBF3C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1.5</w:t>
            </w:r>
          </w:p>
        </w:tc>
        <w:tc>
          <w:tcPr>
            <w:tcW w:w="833" w:type="pct"/>
            <w:hideMark/>
          </w:tcPr>
          <w:p w14:paraId="25C3E5DF"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Information Technology Security Analyst</w:t>
            </w:r>
          </w:p>
        </w:tc>
        <w:tc>
          <w:tcPr>
            <w:tcW w:w="833" w:type="pct"/>
            <w:hideMark/>
          </w:tcPr>
          <w:p w14:paraId="675667E9"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Finance</w:t>
            </w:r>
          </w:p>
        </w:tc>
        <w:tc>
          <w:tcPr>
            <w:tcW w:w="834" w:type="pct"/>
            <w:noWrap/>
            <w:hideMark/>
          </w:tcPr>
          <w:p w14:paraId="78DD55E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Protect and defend, investigate</w:t>
            </w:r>
          </w:p>
        </w:tc>
      </w:tr>
      <w:tr w:rsidR="003E5B95" w:rsidRPr="00FA0365" w14:paraId="648F7FD9"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5C2B9338" w14:textId="6855B80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P10 (F</w:t>
            </w:r>
            <w:r w:rsidR="00F77CB8">
              <w:rPr>
                <w:rFonts w:eastAsia="Times New Roman" w:cs="Times New Roman"/>
                <w:b w:val="0"/>
                <w:bCs w:val="0"/>
                <w:color w:val="000000"/>
                <w:kern w:val="0"/>
                <w:szCs w:val="24"/>
                <w:lang w:eastAsia="en-US"/>
              </w:rPr>
              <w:t>emale</w:t>
            </w:r>
            <w:r w:rsidRPr="00FA0365">
              <w:rPr>
                <w:rFonts w:eastAsia="Times New Roman" w:cs="Times New Roman"/>
                <w:b w:val="0"/>
                <w:bCs w:val="0"/>
                <w:color w:val="000000"/>
                <w:kern w:val="0"/>
                <w:szCs w:val="24"/>
                <w:lang w:eastAsia="en-US"/>
              </w:rPr>
              <w:t>, M.S. M.B.A.)</w:t>
            </w:r>
          </w:p>
        </w:tc>
        <w:tc>
          <w:tcPr>
            <w:tcW w:w="833" w:type="pct"/>
          </w:tcPr>
          <w:p w14:paraId="0EBBA0EA"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42</w:t>
            </w:r>
          </w:p>
        </w:tc>
        <w:tc>
          <w:tcPr>
            <w:tcW w:w="834" w:type="pct"/>
          </w:tcPr>
          <w:p w14:paraId="4F18F51E"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20</w:t>
            </w:r>
          </w:p>
        </w:tc>
        <w:tc>
          <w:tcPr>
            <w:tcW w:w="833" w:type="pct"/>
            <w:hideMark/>
          </w:tcPr>
          <w:p w14:paraId="0B805E03"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President</w:t>
            </w:r>
          </w:p>
        </w:tc>
        <w:tc>
          <w:tcPr>
            <w:tcW w:w="833" w:type="pct"/>
            <w:hideMark/>
          </w:tcPr>
          <w:p w14:paraId="56A351F6"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Information Security</w:t>
            </w:r>
          </w:p>
        </w:tc>
        <w:tc>
          <w:tcPr>
            <w:tcW w:w="834" w:type="pct"/>
            <w:noWrap/>
            <w:hideMark/>
          </w:tcPr>
          <w:p w14:paraId="528C1F09"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0DBE2914"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70289107" w14:textId="01B2586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P11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5F50BAA5"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40 </w:t>
            </w:r>
          </w:p>
        </w:tc>
        <w:tc>
          <w:tcPr>
            <w:tcW w:w="834" w:type="pct"/>
          </w:tcPr>
          <w:p w14:paraId="37152495"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18</w:t>
            </w:r>
          </w:p>
        </w:tc>
        <w:tc>
          <w:tcPr>
            <w:tcW w:w="833" w:type="pct"/>
            <w:hideMark/>
          </w:tcPr>
          <w:p w14:paraId="41293D6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Chief Information Security Officer</w:t>
            </w:r>
          </w:p>
        </w:tc>
        <w:tc>
          <w:tcPr>
            <w:tcW w:w="833" w:type="pct"/>
            <w:hideMark/>
          </w:tcPr>
          <w:p w14:paraId="662540A7"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Healthcare (Government)</w:t>
            </w:r>
          </w:p>
        </w:tc>
        <w:tc>
          <w:tcPr>
            <w:tcW w:w="834" w:type="pct"/>
            <w:hideMark/>
          </w:tcPr>
          <w:p w14:paraId="3E2E3543"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Oversee and govern, protect, and defend, analyze, </w:t>
            </w:r>
            <w:proofErr w:type="gramStart"/>
            <w:r w:rsidRPr="00FA0365">
              <w:rPr>
                <w:rFonts w:eastAsia="Times New Roman" w:cs="Times New Roman"/>
                <w:color w:val="000000"/>
                <w:kern w:val="0"/>
                <w:szCs w:val="24"/>
                <w:lang w:eastAsia="en-US"/>
              </w:rPr>
              <w:t>collect</w:t>
            </w:r>
            <w:proofErr w:type="gramEnd"/>
            <w:r w:rsidRPr="00FA0365">
              <w:rPr>
                <w:rFonts w:eastAsia="Times New Roman" w:cs="Times New Roman"/>
                <w:color w:val="000000"/>
                <w:kern w:val="0"/>
                <w:szCs w:val="24"/>
                <w:lang w:eastAsia="en-US"/>
              </w:rPr>
              <w:t xml:space="preserve"> and operate, investigate</w:t>
            </w:r>
          </w:p>
        </w:tc>
      </w:tr>
      <w:tr w:rsidR="003E5B95" w:rsidRPr="00FA0365" w14:paraId="5C318C2E"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533AA0A8" w14:textId="5B2C7496"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P12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0B32364F"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42</w:t>
            </w:r>
          </w:p>
        </w:tc>
        <w:tc>
          <w:tcPr>
            <w:tcW w:w="834" w:type="pct"/>
          </w:tcPr>
          <w:p w14:paraId="205A300B"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10</w:t>
            </w:r>
          </w:p>
        </w:tc>
        <w:tc>
          <w:tcPr>
            <w:tcW w:w="833" w:type="pct"/>
            <w:hideMark/>
          </w:tcPr>
          <w:p w14:paraId="3EF1EA71"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Chief Technology Officer</w:t>
            </w:r>
          </w:p>
        </w:tc>
        <w:tc>
          <w:tcPr>
            <w:tcW w:w="833" w:type="pct"/>
            <w:hideMark/>
          </w:tcPr>
          <w:p w14:paraId="61BBBFB9"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Computer and Information Technology</w:t>
            </w:r>
          </w:p>
        </w:tc>
        <w:tc>
          <w:tcPr>
            <w:tcW w:w="834" w:type="pct"/>
            <w:hideMark/>
          </w:tcPr>
          <w:p w14:paraId="7AB711C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Primary Role-Oversee and govern </w:t>
            </w:r>
          </w:p>
        </w:tc>
      </w:tr>
      <w:tr w:rsidR="003E5B95" w:rsidRPr="00FA0365" w14:paraId="3C6771E8"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73DBA3D7" w14:textId="216E1684"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P13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M.S.)</w:t>
            </w:r>
          </w:p>
        </w:tc>
        <w:tc>
          <w:tcPr>
            <w:tcW w:w="833" w:type="pct"/>
          </w:tcPr>
          <w:p w14:paraId="4C2954DC"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52</w:t>
            </w:r>
          </w:p>
        </w:tc>
        <w:tc>
          <w:tcPr>
            <w:tcW w:w="834" w:type="pct"/>
          </w:tcPr>
          <w:p w14:paraId="68A9492C"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36</w:t>
            </w:r>
          </w:p>
        </w:tc>
        <w:tc>
          <w:tcPr>
            <w:tcW w:w="833" w:type="pct"/>
            <w:hideMark/>
          </w:tcPr>
          <w:p w14:paraId="4169013D"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IT Security Analyst</w:t>
            </w:r>
          </w:p>
        </w:tc>
        <w:tc>
          <w:tcPr>
            <w:tcW w:w="833" w:type="pct"/>
            <w:hideMark/>
          </w:tcPr>
          <w:p w14:paraId="74615C58"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Government (Department of Correction)</w:t>
            </w:r>
          </w:p>
        </w:tc>
        <w:tc>
          <w:tcPr>
            <w:tcW w:w="834" w:type="pct"/>
            <w:hideMark/>
          </w:tcPr>
          <w:p w14:paraId="56209E58"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Everything, because he is the only person in security</w:t>
            </w:r>
          </w:p>
        </w:tc>
      </w:tr>
      <w:tr w:rsidR="003E5B95" w:rsidRPr="00FA0365" w14:paraId="7E24243B"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6789A63F" w14:textId="4E05F2A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P14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26BBBE57"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51</w:t>
            </w:r>
          </w:p>
        </w:tc>
        <w:tc>
          <w:tcPr>
            <w:tcW w:w="834" w:type="pct"/>
          </w:tcPr>
          <w:p w14:paraId="0B81E853"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21</w:t>
            </w:r>
          </w:p>
        </w:tc>
        <w:tc>
          <w:tcPr>
            <w:tcW w:w="833" w:type="pct"/>
            <w:hideMark/>
          </w:tcPr>
          <w:p w14:paraId="11BA6E07"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Information Security Manager</w:t>
            </w:r>
          </w:p>
        </w:tc>
        <w:tc>
          <w:tcPr>
            <w:tcW w:w="833" w:type="pct"/>
            <w:hideMark/>
          </w:tcPr>
          <w:p w14:paraId="381BCD06"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Government</w:t>
            </w:r>
          </w:p>
        </w:tc>
        <w:tc>
          <w:tcPr>
            <w:tcW w:w="834" w:type="pct"/>
            <w:hideMark/>
          </w:tcPr>
          <w:p w14:paraId="1D9527CA"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 Analyze</w:t>
            </w:r>
          </w:p>
        </w:tc>
      </w:tr>
      <w:tr w:rsidR="003E5B95" w:rsidRPr="00FA0365" w14:paraId="31F30FDE"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4B8EDFF2" w14:textId="45CEDBEC"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P15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M.S.)</w:t>
            </w:r>
          </w:p>
        </w:tc>
        <w:tc>
          <w:tcPr>
            <w:tcW w:w="833" w:type="pct"/>
          </w:tcPr>
          <w:p w14:paraId="43323223"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24</w:t>
            </w:r>
          </w:p>
        </w:tc>
        <w:tc>
          <w:tcPr>
            <w:tcW w:w="834" w:type="pct"/>
          </w:tcPr>
          <w:p w14:paraId="77BA3FC7"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w:t>
            </w:r>
          </w:p>
        </w:tc>
        <w:tc>
          <w:tcPr>
            <w:tcW w:w="833" w:type="pct"/>
            <w:hideMark/>
          </w:tcPr>
          <w:p w14:paraId="3F2DB80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Security Consultant</w:t>
            </w:r>
          </w:p>
        </w:tc>
        <w:tc>
          <w:tcPr>
            <w:tcW w:w="833" w:type="pct"/>
            <w:hideMark/>
          </w:tcPr>
          <w:p w14:paraId="57FA567C"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Consulting</w:t>
            </w:r>
          </w:p>
        </w:tc>
        <w:tc>
          <w:tcPr>
            <w:tcW w:w="834" w:type="pct"/>
            <w:noWrap/>
            <w:hideMark/>
          </w:tcPr>
          <w:p w14:paraId="39D4C0BE"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0EBFE79D"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54B47F21" w14:textId="5923192C"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P16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M.S.)</w:t>
            </w:r>
          </w:p>
        </w:tc>
        <w:tc>
          <w:tcPr>
            <w:tcW w:w="833" w:type="pct"/>
          </w:tcPr>
          <w:p w14:paraId="2B7DF9C5"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31</w:t>
            </w:r>
          </w:p>
        </w:tc>
        <w:tc>
          <w:tcPr>
            <w:tcW w:w="834" w:type="pct"/>
          </w:tcPr>
          <w:p w14:paraId="1AE3B9CF"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6</w:t>
            </w:r>
          </w:p>
        </w:tc>
        <w:tc>
          <w:tcPr>
            <w:tcW w:w="833" w:type="pct"/>
            <w:hideMark/>
          </w:tcPr>
          <w:p w14:paraId="2D5BF95E"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Chief Technology Officer</w:t>
            </w:r>
          </w:p>
        </w:tc>
        <w:tc>
          <w:tcPr>
            <w:tcW w:w="833" w:type="pct"/>
            <w:hideMark/>
          </w:tcPr>
          <w:p w14:paraId="3C7A4358"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Computer and Information Technology</w:t>
            </w:r>
          </w:p>
        </w:tc>
        <w:tc>
          <w:tcPr>
            <w:tcW w:w="834" w:type="pct"/>
            <w:hideMark/>
          </w:tcPr>
          <w:p w14:paraId="397669A6"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Oversee and govern, </w:t>
            </w:r>
            <w:proofErr w:type="gramStart"/>
            <w:r w:rsidRPr="00FA0365">
              <w:rPr>
                <w:rFonts w:eastAsia="Times New Roman" w:cs="Times New Roman"/>
                <w:color w:val="000000"/>
                <w:kern w:val="0"/>
                <w:szCs w:val="24"/>
                <w:lang w:eastAsia="en-US"/>
              </w:rPr>
              <w:t>operate</w:t>
            </w:r>
            <w:proofErr w:type="gramEnd"/>
            <w:r w:rsidRPr="00FA0365">
              <w:rPr>
                <w:rFonts w:eastAsia="Times New Roman" w:cs="Times New Roman"/>
                <w:color w:val="000000"/>
                <w:kern w:val="0"/>
                <w:szCs w:val="24"/>
                <w:lang w:eastAsia="en-US"/>
              </w:rPr>
              <w:t xml:space="preserve"> and maintain, protect and defend</w:t>
            </w:r>
          </w:p>
        </w:tc>
      </w:tr>
      <w:tr w:rsidR="003E5B95" w:rsidRPr="00FA0365" w14:paraId="778339B0"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7325317F" w14:textId="3E5CD5E1"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lastRenderedPageBreak/>
              <w:t>P17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M.S.)</w:t>
            </w:r>
          </w:p>
        </w:tc>
        <w:tc>
          <w:tcPr>
            <w:tcW w:w="833" w:type="pct"/>
          </w:tcPr>
          <w:p w14:paraId="74E8CF91"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39</w:t>
            </w:r>
          </w:p>
        </w:tc>
        <w:tc>
          <w:tcPr>
            <w:tcW w:w="834" w:type="pct"/>
          </w:tcPr>
          <w:p w14:paraId="226FE663"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15</w:t>
            </w:r>
          </w:p>
        </w:tc>
        <w:tc>
          <w:tcPr>
            <w:tcW w:w="833" w:type="pct"/>
            <w:hideMark/>
          </w:tcPr>
          <w:p w14:paraId="39E62F6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Vice President Security Analytics &amp; Orchestration, Insider Threat</w:t>
            </w:r>
          </w:p>
        </w:tc>
        <w:tc>
          <w:tcPr>
            <w:tcW w:w="833" w:type="pct"/>
            <w:hideMark/>
          </w:tcPr>
          <w:p w14:paraId="4EB5F25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Finance</w:t>
            </w:r>
          </w:p>
        </w:tc>
        <w:tc>
          <w:tcPr>
            <w:tcW w:w="834" w:type="pct"/>
            <w:hideMark/>
          </w:tcPr>
          <w:p w14:paraId="351EBE9C"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Protect and defend, investigate, analyze, oversee, and govern</w:t>
            </w:r>
          </w:p>
        </w:tc>
      </w:tr>
      <w:tr w:rsidR="003E5B95" w:rsidRPr="00FA0365" w14:paraId="72EB5D68"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00491F09" w14:textId="692AD9AC"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P18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Ph.D.)</w:t>
            </w:r>
          </w:p>
        </w:tc>
        <w:tc>
          <w:tcPr>
            <w:tcW w:w="833" w:type="pct"/>
          </w:tcPr>
          <w:p w14:paraId="103846C2"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46</w:t>
            </w:r>
          </w:p>
        </w:tc>
        <w:tc>
          <w:tcPr>
            <w:tcW w:w="834" w:type="pct"/>
          </w:tcPr>
          <w:p w14:paraId="59FF339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20</w:t>
            </w:r>
          </w:p>
        </w:tc>
        <w:tc>
          <w:tcPr>
            <w:tcW w:w="833" w:type="pct"/>
            <w:hideMark/>
          </w:tcPr>
          <w:p w14:paraId="2E6A985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Chief Information Security Officer/Vice President</w:t>
            </w:r>
          </w:p>
        </w:tc>
        <w:tc>
          <w:tcPr>
            <w:tcW w:w="833" w:type="pct"/>
            <w:hideMark/>
          </w:tcPr>
          <w:p w14:paraId="4A629938"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Retail</w:t>
            </w:r>
          </w:p>
        </w:tc>
        <w:tc>
          <w:tcPr>
            <w:tcW w:w="834" w:type="pct"/>
            <w:hideMark/>
          </w:tcPr>
          <w:p w14:paraId="439CD6DB"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Oversee and govern, </w:t>
            </w:r>
            <w:proofErr w:type="gramStart"/>
            <w:r w:rsidRPr="00FA0365">
              <w:rPr>
                <w:rFonts w:eastAsia="Times New Roman" w:cs="Times New Roman"/>
                <w:color w:val="000000"/>
                <w:kern w:val="0"/>
                <w:szCs w:val="24"/>
                <w:lang w:eastAsia="en-US"/>
              </w:rPr>
              <w:t>operate</w:t>
            </w:r>
            <w:proofErr w:type="gramEnd"/>
            <w:r w:rsidRPr="00FA0365">
              <w:rPr>
                <w:rFonts w:eastAsia="Times New Roman" w:cs="Times New Roman"/>
                <w:color w:val="000000"/>
                <w:kern w:val="0"/>
                <w:szCs w:val="24"/>
                <w:lang w:eastAsia="en-US"/>
              </w:rPr>
              <w:t xml:space="preserve"> and maintain</w:t>
            </w:r>
          </w:p>
        </w:tc>
      </w:tr>
      <w:tr w:rsidR="003E5B95" w:rsidRPr="00FA0365" w14:paraId="1CC6BEF7" w14:textId="77777777" w:rsidTr="00FA036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4A6B546B" w14:textId="4074B1F9"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P19 (M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Ph.D.)</w:t>
            </w:r>
          </w:p>
        </w:tc>
        <w:tc>
          <w:tcPr>
            <w:tcW w:w="833" w:type="pct"/>
          </w:tcPr>
          <w:p w14:paraId="12926D9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222222"/>
                <w:kern w:val="0"/>
                <w:szCs w:val="24"/>
                <w:lang w:eastAsia="en-US"/>
              </w:rPr>
            </w:pPr>
            <w:r w:rsidRPr="00FA0365">
              <w:rPr>
                <w:rFonts w:eastAsia="Times New Roman" w:cs="Times New Roman"/>
                <w:color w:val="000000"/>
                <w:kern w:val="0"/>
                <w:szCs w:val="24"/>
                <w:lang w:eastAsia="en-US"/>
              </w:rPr>
              <w:t xml:space="preserve">59 </w:t>
            </w:r>
          </w:p>
        </w:tc>
        <w:tc>
          <w:tcPr>
            <w:tcW w:w="834" w:type="pct"/>
          </w:tcPr>
          <w:p w14:paraId="168399E5"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222222"/>
                <w:kern w:val="0"/>
                <w:szCs w:val="24"/>
                <w:lang w:eastAsia="en-US"/>
              </w:rPr>
            </w:pPr>
            <w:r w:rsidRPr="00FA0365">
              <w:rPr>
                <w:rFonts w:eastAsia="Times New Roman" w:cs="Times New Roman"/>
                <w:color w:val="222222"/>
                <w:kern w:val="0"/>
                <w:szCs w:val="24"/>
                <w:lang w:eastAsia="en-US"/>
              </w:rPr>
              <w:t>20</w:t>
            </w:r>
          </w:p>
        </w:tc>
        <w:tc>
          <w:tcPr>
            <w:tcW w:w="833" w:type="pct"/>
            <w:hideMark/>
          </w:tcPr>
          <w:p w14:paraId="51B39DB6"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222222"/>
                <w:kern w:val="0"/>
                <w:szCs w:val="24"/>
                <w:lang w:eastAsia="en-US"/>
              </w:rPr>
            </w:pPr>
            <w:r w:rsidRPr="00FA0365">
              <w:rPr>
                <w:rFonts w:eastAsia="Times New Roman" w:cs="Times New Roman"/>
                <w:color w:val="222222"/>
                <w:kern w:val="0"/>
                <w:szCs w:val="24"/>
                <w:lang w:eastAsia="en-US"/>
              </w:rPr>
              <w:t>Vice President Information Technology/Chief Information Officer</w:t>
            </w:r>
          </w:p>
        </w:tc>
        <w:tc>
          <w:tcPr>
            <w:tcW w:w="833" w:type="pct"/>
            <w:hideMark/>
          </w:tcPr>
          <w:p w14:paraId="72B63FCE"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Academic</w:t>
            </w:r>
          </w:p>
        </w:tc>
        <w:tc>
          <w:tcPr>
            <w:tcW w:w="834" w:type="pct"/>
            <w:noWrap/>
            <w:hideMark/>
          </w:tcPr>
          <w:p w14:paraId="54BAC93B" w14:textId="77777777" w:rsidR="003E5B95" w:rsidRPr="00FA03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Oversee and Govern</w:t>
            </w:r>
          </w:p>
        </w:tc>
      </w:tr>
      <w:tr w:rsidR="003E5B95" w:rsidRPr="00FA0365" w14:paraId="133C9700" w14:textId="77777777" w:rsidTr="00FA0365">
        <w:trPr>
          <w:trHeight w:val="759"/>
        </w:trPr>
        <w:tc>
          <w:tcPr>
            <w:cnfStyle w:val="001000000000" w:firstRow="0" w:lastRow="0" w:firstColumn="1" w:lastColumn="0" w:oddVBand="0" w:evenVBand="0" w:oddHBand="0" w:evenHBand="0" w:firstRowFirstColumn="0" w:firstRowLastColumn="0" w:lastRowFirstColumn="0" w:lastRowLastColumn="0"/>
            <w:tcW w:w="833" w:type="pct"/>
            <w:noWrap/>
            <w:hideMark/>
          </w:tcPr>
          <w:p w14:paraId="0F98DE1A" w14:textId="77777777"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 xml:space="preserve">P20 </w:t>
            </w:r>
          </w:p>
          <w:p w14:paraId="768D5326" w14:textId="019E661F" w:rsidR="003E5B95" w:rsidRPr="00FA0365" w:rsidRDefault="003E5B95" w:rsidP="003E5B95">
            <w:pPr>
              <w:spacing w:line="240" w:lineRule="auto"/>
              <w:ind w:firstLine="0"/>
              <w:contextualSpacing w:val="0"/>
              <w:rPr>
                <w:rFonts w:eastAsia="Times New Roman" w:cs="Times New Roman"/>
                <w:b w:val="0"/>
                <w:bCs w:val="0"/>
                <w:color w:val="000000"/>
                <w:kern w:val="0"/>
                <w:szCs w:val="24"/>
                <w:lang w:eastAsia="en-US"/>
              </w:rPr>
            </w:pPr>
            <w:r w:rsidRPr="00FA0365">
              <w:rPr>
                <w:rFonts w:eastAsia="Times New Roman" w:cs="Times New Roman"/>
                <w:b w:val="0"/>
                <w:bCs w:val="0"/>
                <w:color w:val="000000"/>
                <w:kern w:val="0"/>
                <w:szCs w:val="24"/>
                <w:lang w:eastAsia="en-US"/>
              </w:rPr>
              <w:t>(M</w:t>
            </w:r>
            <w:r w:rsidR="00F77CB8">
              <w:rPr>
                <w:rFonts w:eastAsia="Times New Roman" w:cs="Times New Roman"/>
                <w:b w:val="0"/>
                <w:bCs w:val="0"/>
                <w:color w:val="000000"/>
                <w:kern w:val="0"/>
                <w:szCs w:val="24"/>
                <w:lang w:eastAsia="en-US"/>
              </w:rPr>
              <w:t>ale</w:t>
            </w:r>
            <w:r w:rsidRPr="00FA0365">
              <w:rPr>
                <w:rFonts w:eastAsia="Times New Roman" w:cs="Times New Roman"/>
                <w:b w:val="0"/>
                <w:bCs w:val="0"/>
                <w:color w:val="000000"/>
                <w:kern w:val="0"/>
                <w:szCs w:val="24"/>
                <w:lang w:eastAsia="en-US"/>
              </w:rPr>
              <w:t>, B.S.)</w:t>
            </w:r>
          </w:p>
        </w:tc>
        <w:tc>
          <w:tcPr>
            <w:tcW w:w="833" w:type="pct"/>
          </w:tcPr>
          <w:p w14:paraId="26BBD27D"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 xml:space="preserve">54 </w:t>
            </w:r>
          </w:p>
        </w:tc>
        <w:tc>
          <w:tcPr>
            <w:tcW w:w="834" w:type="pct"/>
          </w:tcPr>
          <w:p w14:paraId="0E86DEA7"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26</w:t>
            </w:r>
          </w:p>
        </w:tc>
        <w:tc>
          <w:tcPr>
            <w:tcW w:w="833" w:type="pct"/>
            <w:hideMark/>
          </w:tcPr>
          <w:p w14:paraId="67186CF4"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Director</w:t>
            </w:r>
          </w:p>
        </w:tc>
        <w:tc>
          <w:tcPr>
            <w:tcW w:w="833" w:type="pct"/>
            <w:hideMark/>
          </w:tcPr>
          <w:p w14:paraId="2F18C700"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Academic</w:t>
            </w:r>
          </w:p>
        </w:tc>
        <w:tc>
          <w:tcPr>
            <w:tcW w:w="834" w:type="pct"/>
            <w:noWrap/>
            <w:hideMark/>
          </w:tcPr>
          <w:p w14:paraId="6497163A" w14:textId="77777777" w:rsidR="003E5B95" w:rsidRPr="00FA03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FA0365">
              <w:rPr>
                <w:rFonts w:eastAsia="Times New Roman" w:cs="Times New Roman"/>
                <w:color w:val="000000"/>
                <w:kern w:val="0"/>
                <w:szCs w:val="24"/>
                <w:lang w:eastAsia="en-US"/>
              </w:rPr>
              <w:t>Investigate</w:t>
            </w:r>
          </w:p>
        </w:tc>
      </w:tr>
      <w:bookmarkEnd w:id="282"/>
    </w:tbl>
    <w:p w14:paraId="16798C02" w14:textId="77777777" w:rsidR="003E5B95" w:rsidRPr="00FA0365" w:rsidRDefault="003E5B95" w:rsidP="003E5B95">
      <w:pPr>
        <w:pStyle w:val="Caption"/>
        <w:keepNext/>
        <w:rPr>
          <w:sz w:val="24"/>
          <w:szCs w:val="24"/>
        </w:rPr>
      </w:pPr>
    </w:p>
    <w:p w14:paraId="4FFCD442" w14:textId="77777777" w:rsidR="003E5B95" w:rsidRPr="00FA0365" w:rsidRDefault="003E5B95">
      <w:pPr>
        <w:spacing w:after="160" w:line="259" w:lineRule="auto"/>
        <w:ind w:firstLine="0"/>
        <w:contextualSpacing w:val="0"/>
        <w:rPr>
          <w:b/>
          <w:iCs/>
          <w:szCs w:val="24"/>
        </w:rPr>
      </w:pPr>
      <w:r w:rsidRPr="00FA0365">
        <w:rPr>
          <w:szCs w:val="24"/>
        </w:rPr>
        <w:br w:type="page"/>
      </w:r>
    </w:p>
    <w:p w14:paraId="3167D646" w14:textId="77777777" w:rsidR="003E5B95" w:rsidRPr="009A5CA0" w:rsidRDefault="003E5B95" w:rsidP="003E5B95">
      <w:pPr>
        <w:pStyle w:val="Heading1"/>
        <w:rPr>
          <w:b/>
          <w:bCs/>
        </w:rPr>
      </w:pPr>
      <w:bookmarkStart w:id="298" w:name="_Toc74087557"/>
      <w:bookmarkStart w:id="299" w:name="_Toc74258673"/>
      <w:r w:rsidRPr="009A5CA0">
        <w:rPr>
          <w:b/>
          <w:bCs/>
        </w:rPr>
        <w:lastRenderedPageBreak/>
        <w:t>APPENDIX H: SUPPORTING QUOTES FROM INTERVIEWS</w:t>
      </w:r>
      <w:bookmarkEnd w:id="298"/>
      <w:bookmarkEnd w:id="299"/>
    </w:p>
    <w:p w14:paraId="7793FD4A" w14:textId="77777777" w:rsidR="003E5B95" w:rsidRPr="007969B7" w:rsidRDefault="003E5B95" w:rsidP="003E5B95">
      <w:pPr>
        <w:pStyle w:val="Caption"/>
        <w:keepNext/>
        <w:spacing w:line="480" w:lineRule="auto"/>
        <w:rPr>
          <w:sz w:val="24"/>
          <w:szCs w:val="24"/>
        </w:rPr>
      </w:pPr>
      <w:bookmarkStart w:id="300" w:name="_Toc73955268"/>
      <w:bookmarkStart w:id="301" w:name="_Toc74074429"/>
      <w:r w:rsidRPr="007969B7">
        <w:rPr>
          <w:sz w:val="24"/>
          <w:szCs w:val="24"/>
        </w:rPr>
        <w:t xml:space="preserve">Table </w:t>
      </w:r>
      <w:r>
        <w:rPr>
          <w:sz w:val="24"/>
          <w:szCs w:val="24"/>
        </w:rPr>
        <w:t>H1</w:t>
      </w:r>
      <w:r w:rsidRPr="007969B7">
        <w:rPr>
          <w:sz w:val="24"/>
          <w:szCs w:val="24"/>
        </w:rPr>
        <w:t xml:space="preserve"> </w:t>
      </w:r>
      <w:bookmarkStart w:id="302" w:name="_Toc73917988"/>
    </w:p>
    <w:p w14:paraId="0368F320" w14:textId="77777777" w:rsidR="003E5B95" w:rsidRPr="007969B7" w:rsidRDefault="003E5B95" w:rsidP="003E5B95">
      <w:pPr>
        <w:pStyle w:val="Caption"/>
        <w:keepNext/>
        <w:spacing w:line="480" w:lineRule="auto"/>
        <w:rPr>
          <w:b w:val="0"/>
          <w:bCs/>
          <w:i/>
          <w:iCs w:val="0"/>
          <w:sz w:val="24"/>
          <w:szCs w:val="24"/>
        </w:rPr>
      </w:pPr>
      <w:r w:rsidRPr="007969B7">
        <w:rPr>
          <w:b w:val="0"/>
          <w:bCs/>
          <w:i/>
          <w:iCs w:val="0"/>
          <w:sz w:val="24"/>
          <w:szCs w:val="24"/>
        </w:rPr>
        <w:t>Qualitative Evidence in Support of Conceptual Framework</w:t>
      </w:r>
      <w:bookmarkEnd w:id="300"/>
      <w:bookmarkEnd w:id="301"/>
      <w:bookmarkEnd w:id="302"/>
    </w:p>
    <w:tbl>
      <w:tblPr>
        <w:tblStyle w:val="PlainTable4"/>
        <w:tblW w:w="5000" w:type="pct"/>
        <w:tblLook w:val="04A0" w:firstRow="1" w:lastRow="0" w:firstColumn="1" w:lastColumn="0" w:noHBand="0" w:noVBand="1"/>
      </w:tblPr>
      <w:tblGrid>
        <w:gridCol w:w="1918"/>
        <w:gridCol w:w="1851"/>
        <w:gridCol w:w="9191"/>
      </w:tblGrid>
      <w:tr w:rsidR="003E5B95" w:rsidRPr="008A6A6E" w14:paraId="51C30FF8" w14:textId="77777777" w:rsidTr="003E5B95">
        <w:trPr>
          <w:cnfStyle w:val="100000000000" w:firstRow="1" w:lastRow="0" w:firstColumn="0" w:lastColumn="0" w:oddVBand="0" w:evenVBand="0" w:oddHBand="0" w:evenHBand="0" w:firstRowFirstColumn="0" w:firstRowLastColumn="0" w:lastRowFirstColumn="0" w:lastRowLastColumn="0"/>
          <w:trHeight w:val="504"/>
          <w:tblHeader/>
        </w:trPr>
        <w:tc>
          <w:tcPr>
            <w:cnfStyle w:val="001000000000" w:firstRow="0" w:lastRow="0" w:firstColumn="1" w:lastColumn="0" w:oddVBand="0" w:evenVBand="0" w:oddHBand="0" w:evenHBand="0" w:firstRowFirstColumn="0" w:firstRowLastColumn="0" w:lastRowFirstColumn="0" w:lastRowLastColumn="0"/>
            <w:tcW w:w="740" w:type="pct"/>
            <w:tcBorders>
              <w:top w:val="single" w:sz="4" w:space="0" w:color="auto"/>
              <w:bottom w:val="single" w:sz="4" w:space="0" w:color="auto"/>
              <w:right w:val="single" w:sz="4" w:space="0" w:color="auto"/>
            </w:tcBorders>
          </w:tcPr>
          <w:p w14:paraId="6C43D42F"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Determinants of Stress Process</w:t>
            </w:r>
          </w:p>
        </w:tc>
        <w:tc>
          <w:tcPr>
            <w:tcW w:w="714" w:type="pct"/>
            <w:tcBorders>
              <w:top w:val="single" w:sz="4" w:space="0" w:color="auto"/>
              <w:left w:val="single" w:sz="4" w:space="0" w:color="auto"/>
              <w:bottom w:val="single" w:sz="4" w:space="0" w:color="auto"/>
            </w:tcBorders>
          </w:tcPr>
          <w:p w14:paraId="01300CCF"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8A6A6E">
              <w:rPr>
                <w:rFonts w:cs="Times New Roman"/>
                <w:b w:val="0"/>
                <w:bCs w:val="0"/>
                <w:kern w:val="0"/>
                <w:szCs w:val="24"/>
                <w:lang w:eastAsia="en-US"/>
              </w:rPr>
              <w:t>Key indicators for coding (types of theme)</w:t>
            </w:r>
          </w:p>
        </w:tc>
        <w:tc>
          <w:tcPr>
            <w:tcW w:w="3546" w:type="pct"/>
            <w:tcBorders>
              <w:top w:val="single" w:sz="4" w:space="0" w:color="auto"/>
              <w:bottom w:val="single" w:sz="4" w:space="0" w:color="auto"/>
            </w:tcBorders>
          </w:tcPr>
          <w:p w14:paraId="2B680CE2"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8A6A6E">
              <w:rPr>
                <w:rFonts w:cs="Times New Roman"/>
                <w:b w:val="0"/>
                <w:bCs w:val="0"/>
                <w:kern w:val="0"/>
                <w:szCs w:val="24"/>
                <w:lang w:eastAsia="en-US"/>
              </w:rPr>
              <w:t>Interview observation and supporting evidence</w:t>
            </w:r>
          </w:p>
        </w:tc>
      </w:tr>
      <w:tr w:rsidR="003E5B95" w:rsidRPr="008A6A6E" w14:paraId="3DF033B6" w14:textId="77777777" w:rsidTr="003E5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740" w:type="pct"/>
            <w:vMerge w:val="restart"/>
            <w:tcBorders>
              <w:top w:val="single" w:sz="4" w:space="0" w:color="auto"/>
              <w:right w:val="single" w:sz="4" w:space="0" w:color="auto"/>
            </w:tcBorders>
          </w:tcPr>
          <w:p w14:paraId="43488894"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Stage I-Stressor relevance</w:t>
            </w:r>
          </w:p>
          <w:p w14:paraId="50AC7214" w14:textId="687ECC95" w:rsidR="003E5B95" w:rsidRPr="008A6A6E" w:rsidRDefault="000343DE" w:rsidP="003E5B95">
            <w:pPr>
              <w:spacing w:line="240" w:lineRule="auto"/>
              <w:ind w:firstLine="0"/>
              <w:contextualSpacing w:val="0"/>
              <w:rPr>
                <w:rFonts w:cs="Times New Roman"/>
                <w:b w:val="0"/>
                <w:bCs w:val="0"/>
                <w:kern w:val="0"/>
                <w:szCs w:val="24"/>
                <w:lang w:eastAsia="en-US"/>
              </w:rPr>
            </w:pPr>
            <w:r>
              <w:rPr>
                <w:rFonts w:cs="Times New Roman"/>
                <w:b w:val="0"/>
                <w:bCs w:val="0"/>
                <w:kern w:val="0"/>
                <w:szCs w:val="24"/>
                <w:lang w:eastAsia="en-US"/>
              </w:rPr>
              <w:t xml:space="preserve"> </w:t>
            </w:r>
            <w:r w:rsidR="003E5B95" w:rsidRPr="008A6A6E">
              <w:rPr>
                <w:rFonts w:cs="Times New Roman"/>
                <w:b w:val="0"/>
                <w:bCs w:val="0"/>
                <w:kern w:val="0"/>
                <w:szCs w:val="24"/>
                <w:lang w:eastAsia="en-US"/>
              </w:rPr>
              <w:t>Demand (EMS technology) characteristics</w:t>
            </w:r>
          </w:p>
        </w:tc>
        <w:tc>
          <w:tcPr>
            <w:tcW w:w="714" w:type="pct"/>
            <w:tcBorders>
              <w:top w:val="single" w:sz="4" w:space="0" w:color="auto"/>
              <w:left w:val="single" w:sz="4" w:space="0" w:color="auto"/>
            </w:tcBorders>
          </w:tcPr>
          <w:p w14:paraId="02A13AB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cs="Times New Roman"/>
                <w:kern w:val="0"/>
                <w:szCs w:val="24"/>
                <w:lang w:eastAsia="en-US"/>
              </w:rPr>
              <w:t>Usefulness</w:t>
            </w:r>
            <w:r w:rsidRPr="008A6A6E">
              <w:rPr>
                <w:rFonts w:eastAsia="Times New Roman" w:cs="Times New Roman"/>
                <w:color w:val="000000"/>
                <w:kern w:val="0"/>
                <w:szCs w:val="24"/>
                <w:lang w:eastAsia="en-US"/>
              </w:rPr>
              <w:t xml:space="preserve"> (predefined theme)</w:t>
            </w:r>
          </w:p>
        </w:tc>
        <w:tc>
          <w:tcPr>
            <w:tcW w:w="3546" w:type="pct"/>
            <w:tcBorders>
              <w:top w:val="single" w:sz="4" w:space="0" w:color="auto"/>
            </w:tcBorders>
          </w:tcPr>
          <w:p w14:paraId="7E5642F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UA13: I'm not sure how useful the data is. I mean, clearly, if they're trying to catch somebody doing something wrong. I think the data is accurate. But </w:t>
            </w:r>
            <w:proofErr w:type="gramStart"/>
            <w:r w:rsidRPr="008A6A6E">
              <w:rPr>
                <w:rFonts w:eastAsia="Times New Roman" w:cs="Times New Roman"/>
                <w:color w:val="000000"/>
                <w:kern w:val="0"/>
                <w:szCs w:val="24"/>
                <w:lang w:eastAsia="en-US"/>
              </w:rPr>
              <w:t>as a whole for</w:t>
            </w:r>
            <w:proofErr w:type="gramEnd"/>
            <w:r w:rsidRPr="008A6A6E">
              <w:rPr>
                <w:rFonts w:eastAsia="Times New Roman" w:cs="Times New Roman"/>
                <w:color w:val="000000"/>
                <w:kern w:val="0"/>
                <w:szCs w:val="24"/>
                <w:lang w:eastAsia="en-US"/>
              </w:rPr>
              <w:t xml:space="preserve"> aggregate, I don't think that you would learn much by going over all of that data. Only in specific cases-Academic Institution-Network Engineer, System's Administrator</w:t>
            </w:r>
          </w:p>
          <w:p w14:paraId="4E53D852"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eastAsia="Times New Roman" w:cs="Times New Roman"/>
                <w:color w:val="000000"/>
                <w:kern w:val="0"/>
                <w:szCs w:val="24"/>
                <w:lang w:eastAsia="en-US"/>
              </w:rPr>
              <w:t xml:space="preserve">UA22: While an analyst can see things that are useful, presenting of the analysis to whoever you're reporting to may not see the same usefulness. Or the complexity of the data could provide a turn off from whatever it is, the results of what you're </w:t>
            </w:r>
            <w:proofErr w:type="gramStart"/>
            <w:r w:rsidRPr="008A6A6E">
              <w:rPr>
                <w:rFonts w:eastAsia="Times New Roman" w:cs="Times New Roman"/>
                <w:color w:val="000000"/>
                <w:kern w:val="0"/>
                <w:szCs w:val="24"/>
                <w:lang w:eastAsia="en-US"/>
              </w:rPr>
              <w:t>actually reporting</w:t>
            </w:r>
            <w:proofErr w:type="gramEnd"/>
            <w:r w:rsidRPr="008A6A6E">
              <w:rPr>
                <w:rFonts w:eastAsia="Times New Roman" w:cs="Times New Roman"/>
                <w:color w:val="000000"/>
                <w:kern w:val="0"/>
                <w:szCs w:val="24"/>
                <w:lang w:eastAsia="en-US"/>
              </w:rPr>
              <w:t>. So, usefulness is in the eye of the beholder…...</w:t>
            </w:r>
            <w:r w:rsidRPr="008A6A6E">
              <w:rPr>
                <w:rFonts w:cs="Times New Roman"/>
                <w:kern w:val="0"/>
                <w:szCs w:val="24"/>
                <w:lang w:eastAsia="en-US"/>
              </w:rPr>
              <w:t xml:space="preserve"> But to make the job easier, usefulness is a huge factor which speaks to like I said before, reducing the amount of time for the analysis, so things that are more intuitive that can bring metrics and/or anomalies present those in an easier and quicker way, I find more useful. Definitely.</w:t>
            </w:r>
          </w:p>
          <w:p w14:paraId="019EA36D"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UA23: I think it's good to have them in place because, that way, in the case of a breach and everything, they're able to go back, or if there's some sort of incident, they're able to go back and, at least, get to the origin of it and figure out some idea of what happens. That way they can fix the problem and minimize the impact.</w:t>
            </w:r>
          </w:p>
        </w:tc>
      </w:tr>
      <w:tr w:rsidR="003E5B95" w:rsidRPr="008A6A6E" w14:paraId="0AEED457" w14:textId="77777777" w:rsidTr="003E5B95">
        <w:trPr>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right w:val="single" w:sz="4" w:space="0" w:color="auto"/>
            </w:tcBorders>
          </w:tcPr>
          <w:p w14:paraId="42FC9FEA"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left w:val="single" w:sz="4" w:space="0" w:color="auto"/>
            </w:tcBorders>
          </w:tcPr>
          <w:p w14:paraId="708FAE4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Complexity</w:t>
            </w:r>
            <w:r w:rsidRPr="008A6A6E">
              <w:rPr>
                <w:rFonts w:eastAsia="Times New Roman" w:cs="Times New Roman"/>
                <w:color w:val="000000"/>
                <w:kern w:val="0"/>
                <w:szCs w:val="24"/>
                <w:lang w:eastAsia="en-US"/>
              </w:rPr>
              <w:t xml:space="preserve"> (predefined theme)</w:t>
            </w:r>
          </w:p>
        </w:tc>
        <w:tc>
          <w:tcPr>
            <w:tcW w:w="3546" w:type="pct"/>
          </w:tcPr>
          <w:p w14:paraId="531E6EB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UA09: Of course, they [EM/S technology] are complex to use. It's just that nobody can-- you need proper expertise to understand that data and have a good monitoring system. But if you're running a company with 2,000 employees, then you need to have that. Otherwise, it would be difficult that having those employees remote, you need to make sure that your company is in the safe hands. So, there is an investment that's needed towards that. It is complex. It's not easy, I can say that, but yeah, of course, it provides its result, so worth the investment- Computer and IT-Principle Information Security Engineer</w:t>
            </w:r>
          </w:p>
          <w:p w14:paraId="518ABC99"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UA11: They're complex for sure but they're definitely useful just because we see a lot of security alerts and so we kind of need these tools to give us context and figure out who it is and what exactly is going on.</w:t>
            </w:r>
          </w:p>
          <w:p w14:paraId="52720A0E"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UA18: So, for our SEIM platform, we use Microsoft's Azure Sentinel. That's a really good product. But the level of effort that goes into getting it working in any environment that I've seen is very high. It's very complicated. And it takes a lot of expertise not only in the tool itself but the underlying query language that it uses. It's not Microsoft proprietary but it's close-Healthcare Chief Information Security Officer</w:t>
            </w:r>
          </w:p>
          <w:p w14:paraId="7BF8981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cs="Times New Roman"/>
                <w:kern w:val="0"/>
                <w:szCs w:val="24"/>
                <w:lang w:eastAsia="en-US"/>
              </w:rPr>
              <w:t xml:space="preserve">UA22: </w:t>
            </w:r>
            <w:proofErr w:type="gramStart"/>
            <w:r w:rsidRPr="008A6A6E">
              <w:rPr>
                <w:rFonts w:cs="Times New Roman"/>
                <w:kern w:val="0"/>
                <w:szCs w:val="24"/>
                <w:lang w:eastAsia="en-US"/>
              </w:rPr>
              <w:t>So</w:t>
            </w:r>
            <w:proofErr w:type="gramEnd"/>
            <w:r w:rsidRPr="008A6A6E">
              <w:rPr>
                <w:rFonts w:cs="Times New Roman"/>
                <w:kern w:val="0"/>
                <w:szCs w:val="24"/>
                <w:lang w:eastAsia="en-US"/>
              </w:rPr>
              <w:t xml:space="preserve"> the ease of use or the less complex of the tool, or the most intuitive of the tool, the better. Because I can't dedicate all my time to analysis completely.</w:t>
            </w:r>
          </w:p>
        </w:tc>
      </w:tr>
      <w:tr w:rsidR="003E5B95" w:rsidRPr="008A6A6E" w14:paraId="2CA2A9E1" w14:textId="77777777" w:rsidTr="003E5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right w:val="single" w:sz="4" w:space="0" w:color="auto"/>
            </w:tcBorders>
          </w:tcPr>
          <w:p w14:paraId="0754D35E"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left w:val="single" w:sz="4" w:space="0" w:color="auto"/>
            </w:tcBorders>
          </w:tcPr>
          <w:p w14:paraId="5C3D74B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False Alarms (false positive-emerging theme)</w:t>
            </w:r>
          </w:p>
        </w:tc>
        <w:tc>
          <w:tcPr>
            <w:tcW w:w="3546" w:type="pct"/>
          </w:tcPr>
          <w:p w14:paraId="3CB494AF" w14:textId="030027FC"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UA14: The difficulty is probably as we call false positives where the software-- when you initially turn these technologies on, they generally find false positives, right? Occurrences that are not really breaches of policy or breaches of law or anything like that- Partner at EY-IT security consultant</w:t>
            </w:r>
          </w:p>
          <w:p w14:paraId="76B8DA7B"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8A6A6E" w14:paraId="746C013E" w14:textId="77777777" w:rsidTr="003E5B95">
        <w:trPr>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right w:val="single" w:sz="4" w:space="0" w:color="auto"/>
            </w:tcBorders>
          </w:tcPr>
          <w:p w14:paraId="775BE6B1"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left w:val="single" w:sz="4" w:space="0" w:color="auto"/>
            </w:tcBorders>
          </w:tcPr>
          <w:p w14:paraId="1BADF8D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Interoperability (emerging theme)</w:t>
            </w:r>
          </w:p>
        </w:tc>
        <w:tc>
          <w:tcPr>
            <w:tcW w:w="3546" w:type="pct"/>
          </w:tcPr>
          <w:p w14:paraId="7C30BA6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UA11: I would say of the tools we have the most difficult one to keep up and maintain and get a lot of usefulness out of would be our SIEM tools, Splunk just because it is very complex and it requires a lot of sources from other systems to get the information that you need out of it to create reliable alerts [interoperability] -Healthcare Information Security Manager describing complexity of integration of SIEM tools with other security tools to generate reliable alerts.</w:t>
            </w:r>
          </w:p>
        </w:tc>
      </w:tr>
      <w:tr w:rsidR="003E5B95" w:rsidRPr="008A6A6E" w14:paraId="0A9D4D64" w14:textId="77777777" w:rsidTr="003E5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740" w:type="pct"/>
            <w:tcBorders>
              <w:right w:val="single" w:sz="4" w:space="0" w:color="auto"/>
            </w:tcBorders>
          </w:tcPr>
          <w:p w14:paraId="6E78A33A"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Stage I-Stressor relevance</w:t>
            </w:r>
          </w:p>
          <w:p w14:paraId="251AE414"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The environment within which demand is imposed, i.e., the context of demand</w:t>
            </w:r>
          </w:p>
        </w:tc>
        <w:tc>
          <w:tcPr>
            <w:tcW w:w="714" w:type="pct"/>
            <w:tcBorders>
              <w:left w:val="single" w:sz="4" w:space="0" w:color="auto"/>
            </w:tcBorders>
          </w:tcPr>
          <w:p w14:paraId="13AC9E6C"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Security climate (emerging theme)</w:t>
            </w:r>
          </w:p>
        </w:tc>
        <w:tc>
          <w:tcPr>
            <w:tcW w:w="3546" w:type="pct"/>
          </w:tcPr>
          <w:p w14:paraId="60464FD4"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UA10: I don't really think that, in my experience, that technology made things difficult or hindered or anything. Organizational level factors </w:t>
            </w:r>
            <w:proofErr w:type="gramStart"/>
            <w:r w:rsidRPr="008A6A6E">
              <w:rPr>
                <w:rFonts w:cs="Times New Roman"/>
                <w:kern w:val="0"/>
                <w:szCs w:val="24"/>
                <w:lang w:eastAsia="en-US"/>
              </w:rPr>
              <w:t>definitely I</w:t>
            </w:r>
            <w:proofErr w:type="gramEnd"/>
            <w:r w:rsidRPr="008A6A6E">
              <w:rPr>
                <w:rFonts w:cs="Times New Roman"/>
                <w:kern w:val="0"/>
                <w:szCs w:val="24"/>
                <w:lang w:eastAsia="en-US"/>
              </w:rPr>
              <w:t xml:space="preserve"> think </w:t>
            </w:r>
            <w:proofErr w:type="spellStart"/>
            <w:r w:rsidRPr="008A6A6E">
              <w:rPr>
                <w:rFonts w:cs="Times New Roman"/>
                <w:kern w:val="0"/>
                <w:szCs w:val="24"/>
                <w:lang w:eastAsia="en-US"/>
              </w:rPr>
              <w:t>were</w:t>
            </w:r>
            <w:proofErr w:type="spellEnd"/>
            <w:r w:rsidRPr="008A6A6E">
              <w:rPr>
                <w:rFonts w:cs="Times New Roman"/>
                <w:kern w:val="0"/>
                <w:szCs w:val="24"/>
                <w:lang w:eastAsia="en-US"/>
              </w:rPr>
              <w:t xml:space="preserve"> a little bit of a challenge. [A solution engineer describing the organization level security climate that may be relevant while deploying EMS tool].</w:t>
            </w:r>
          </w:p>
          <w:p w14:paraId="04715382"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UA22: Having the tools to do your job and accomplish it is enormous for moving forward with confidence and reporting and actually having visibility and knowing that you have the visibility into your architectures or behaviors as far as the employees are going, understand truly what your security culture is.</w:t>
            </w:r>
          </w:p>
        </w:tc>
      </w:tr>
      <w:tr w:rsidR="003E5B95" w:rsidRPr="008A6A6E" w14:paraId="119DBF93" w14:textId="77777777" w:rsidTr="003E5B95">
        <w:trPr>
          <w:trHeight w:val="504"/>
        </w:trPr>
        <w:tc>
          <w:tcPr>
            <w:cnfStyle w:val="001000000000" w:firstRow="0" w:lastRow="0" w:firstColumn="1" w:lastColumn="0" w:oddVBand="0" w:evenVBand="0" w:oddHBand="0" w:evenHBand="0" w:firstRowFirstColumn="0" w:firstRowLastColumn="0" w:lastRowFirstColumn="0" w:lastRowLastColumn="0"/>
            <w:tcW w:w="740" w:type="pct"/>
            <w:vMerge w:val="restart"/>
            <w:tcBorders>
              <w:right w:val="single" w:sz="4" w:space="0" w:color="auto"/>
            </w:tcBorders>
          </w:tcPr>
          <w:p w14:paraId="4FAE9A6B"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lastRenderedPageBreak/>
              <w:t xml:space="preserve">Stage II- Classified stress: </w:t>
            </w:r>
          </w:p>
          <w:p w14:paraId="7866D156"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 xml:space="preserve">Psychological experiences because of relevant demand </w:t>
            </w:r>
          </w:p>
        </w:tc>
        <w:tc>
          <w:tcPr>
            <w:tcW w:w="714" w:type="pct"/>
            <w:tcBorders>
              <w:left w:val="single" w:sz="4" w:space="0" w:color="auto"/>
            </w:tcBorders>
          </w:tcPr>
          <w:p w14:paraId="1B79C19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Challenge and hindrance stress (coexistence-emerging theme)</w:t>
            </w:r>
          </w:p>
        </w:tc>
        <w:tc>
          <w:tcPr>
            <w:tcW w:w="3546" w:type="pct"/>
          </w:tcPr>
          <w:p w14:paraId="290550C5"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UA14: In data loss prevention, being able to catch the leakage of information. There's no way you can monitor for that. So, it's quite exciting to have a technology when you're a security professional and you want to protect your company. It's a feeling of, again, excitement or feeling of satisfaction, let's say, maybe is the best word. Satisfaction in being able to properly execute your job. Without these tools, it's very difficult. The security professionals felt like they were responsible for making sure nothing bad happened or nothing leaked out of the organization. And so, they were anxious or nervous that something would happen. And the tool might be would not catch that malicious activity. So I think it's a mixture of satisfaction and be able to more effectively do the job, combined with let's say, anxiety of what happens if you know you don't-- the tool doesn't work correctly or something bad happens to your company-Partner at EY-IT security consultant discussing the feeling of challenge and hindrance stress from EMS technology.</w:t>
            </w:r>
          </w:p>
          <w:p w14:paraId="4BF859E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UA07: Challenging but rewarding I think when you're in the middle of deploying something like that [EMS technology], it is very challenging and can be frustrating. I would not say that I'm a person that experiences a high level of stress around things like that. And so, I would not have called myself stressed about it. It's just frustrating and can be challenging. At the end when you get results and you're able to use the tool and it makes a lot of your employee’s jobs better, then that is very rewarding. So yeah, that's what I would say-Financial-Vice President, Director of IT security discussing the feeling of challenge and hindrance stress from EMS technology.</w:t>
            </w:r>
          </w:p>
        </w:tc>
      </w:tr>
      <w:tr w:rsidR="003E5B95" w:rsidRPr="008A6A6E" w14:paraId="5D0680FF" w14:textId="77777777" w:rsidTr="003E5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right w:val="single" w:sz="4" w:space="0" w:color="auto"/>
            </w:tcBorders>
          </w:tcPr>
          <w:p w14:paraId="6BCB16E8"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left w:val="single" w:sz="4" w:space="0" w:color="auto"/>
            </w:tcBorders>
          </w:tcPr>
          <w:p w14:paraId="693ABE6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Challenge stress manifested in the form of positive psychological states as enjoyment, excitement, etc. (predefined theme)</w:t>
            </w:r>
          </w:p>
        </w:tc>
        <w:tc>
          <w:tcPr>
            <w:tcW w:w="3546" w:type="pct"/>
          </w:tcPr>
          <w:p w14:paraId="0DA8A7C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UA11: They feel like they [SIEM tools] make a difference and, yeah, I'd say that's probably one of the parts I enjoy about my job is the tools. Because for us since we're healthcare organization protecting patients when we're able to implement tools effectively and prevent people from getting compromised.-Health information security manager describing the feeling of challenge stress as SIEM tools add a meaning to his/her job.</w:t>
            </w:r>
          </w:p>
          <w:p w14:paraId="1A39560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UA13: I mean, anytime you get to play with something new [EMS technology in this context] and deploy something new there's a little bit of exhilaration from the challenge.</w:t>
            </w:r>
          </w:p>
          <w:p w14:paraId="24A566F7"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UA16: When it's working, I do feel like okay, yes, this is a very important tool that I need to do my job. So, it does </w:t>
            </w:r>
            <w:proofErr w:type="gramStart"/>
            <w:r w:rsidRPr="008A6A6E">
              <w:rPr>
                <w:rFonts w:cs="Times New Roman"/>
                <w:kern w:val="0"/>
                <w:szCs w:val="24"/>
                <w:lang w:eastAsia="en-US"/>
              </w:rPr>
              <w:t>definitely serve</w:t>
            </w:r>
            <w:proofErr w:type="gramEnd"/>
            <w:r w:rsidRPr="008A6A6E">
              <w:rPr>
                <w:rFonts w:cs="Times New Roman"/>
                <w:kern w:val="0"/>
                <w:szCs w:val="24"/>
                <w:lang w:eastAsia="en-US"/>
              </w:rPr>
              <w:t xml:space="preserve"> its purpose. So, I will agree with I guess the excitement factor of okay, this is great. It's working. It's alerting us because my job revolves </w:t>
            </w:r>
            <w:r w:rsidRPr="008A6A6E">
              <w:rPr>
                <w:rFonts w:cs="Times New Roman"/>
                <w:kern w:val="0"/>
                <w:szCs w:val="24"/>
                <w:lang w:eastAsia="en-US"/>
              </w:rPr>
              <w:lastRenderedPageBreak/>
              <w:t xml:space="preserve">around responding to alerts and monitoring our environment. </w:t>
            </w:r>
            <w:proofErr w:type="gramStart"/>
            <w:r w:rsidRPr="008A6A6E">
              <w:rPr>
                <w:rFonts w:cs="Times New Roman"/>
                <w:kern w:val="0"/>
                <w:szCs w:val="24"/>
                <w:lang w:eastAsia="en-US"/>
              </w:rPr>
              <w:t>So</w:t>
            </w:r>
            <w:proofErr w:type="gramEnd"/>
            <w:r w:rsidRPr="008A6A6E">
              <w:rPr>
                <w:rFonts w:cs="Times New Roman"/>
                <w:kern w:val="0"/>
                <w:szCs w:val="24"/>
                <w:lang w:eastAsia="en-US"/>
              </w:rPr>
              <w:t xml:space="preserve"> these are all things that are very well needed and are important.</w:t>
            </w:r>
          </w:p>
          <w:p w14:paraId="786BDC3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UA18: But the sense of accomplishment was great because we-I mean, in this instance we killed it. We showed up with a new tool that was felt </w:t>
            </w:r>
            <w:proofErr w:type="gramStart"/>
            <w:r w:rsidRPr="008A6A6E">
              <w:rPr>
                <w:rFonts w:cs="Times New Roman"/>
                <w:kern w:val="0"/>
                <w:szCs w:val="24"/>
                <w:lang w:eastAsia="en-US"/>
              </w:rPr>
              <w:t>fairly inexpensive</w:t>
            </w:r>
            <w:proofErr w:type="gramEnd"/>
            <w:r w:rsidRPr="008A6A6E">
              <w:rPr>
                <w:rFonts w:cs="Times New Roman"/>
                <w:kern w:val="0"/>
                <w:szCs w:val="24"/>
                <w:lang w:eastAsia="en-US"/>
              </w:rPr>
              <w:t>, and we mitigated thousands of vulnerabilities within a couple of months. So that was good.</w:t>
            </w:r>
          </w:p>
          <w:p w14:paraId="5CEBCC39"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UA20: I spend a lot of-- even when I come home at night, I spend a lot of time up in my office here working on doing things like that, looking at skills or technology adaptation. Again, same thing, I spend a lot of time out in the security forums looking at things, looking at best practices RNC standards, etc., and looking to see what's new and maybe not necessarily buying new technology but modifying our current technology to look at certain things or to do certain things. [IT Security Analyst describing the feeling of challenge stress and its associated savoring in terms of his adaptation efforts].</w:t>
            </w:r>
          </w:p>
        </w:tc>
      </w:tr>
      <w:tr w:rsidR="003E5B95" w:rsidRPr="008A6A6E" w14:paraId="451FD6D8" w14:textId="77777777" w:rsidTr="003E5B95">
        <w:trPr>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right w:val="single" w:sz="4" w:space="0" w:color="auto"/>
            </w:tcBorders>
          </w:tcPr>
          <w:p w14:paraId="5D8F8BC1"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left w:val="single" w:sz="4" w:space="0" w:color="auto"/>
            </w:tcBorders>
          </w:tcPr>
          <w:p w14:paraId="66F1522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Hindrance stress (predefined theme)</w:t>
            </w:r>
          </w:p>
        </w:tc>
        <w:tc>
          <w:tcPr>
            <w:tcW w:w="3546" w:type="pct"/>
          </w:tcPr>
          <w:p w14:paraId="52E8FF8D"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UA16: From the hindrance perspective</w:t>
            </w:r>
            <w:proofErr w:type="gramStart"/>
            <w:r w:rsidRPr="008A6A6E">
              <w:rPr>
                <w:rFonts w:cs="Times New Roman"/>
                <w:kern w:val="0"/>
                <w:szCs w:val="24"/>
                <w:lang w:eastAsia="en-US"/>
              </w:rPr>
              <w:t>, definitely, I</w:t>
            </w:r>
            <w:proofErr w:type="gramEnd"/>
            <w:r w:rsidRPr="008A6A6E">
              <w:rPr>
                <w:rFonts w:cs="Times New Roman"/>
                <w:kern w:val="0"/>
                <w:szCs w:val="24"/>
                <w:lang w:eastAsia="en-US"/>
              </w:rPr>
              <w:t xml:space="preserve"> feel like, professionally, that's a negative for sure because I guess as far as millennials or year 2020, whatever. People don't typically stay at jobs for the same 30-plus years as previous generations have. And so as far as from the constant learning and evolving aspect, if you feel like you're being hindered and you're not learning and you're not growing and you're not implementing, then that professionally does challenge you for whatever your next role or position might be. Whether that's at the same company or at your next company of profession. And, I guess, personally, no one enjoys being stressed out about work.</w:t>
            </w:r>
          </w:p>
          <w:p w14:paraId="4FA0A135"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UA18: Deploying these [EMS] technologies and knowing that I may hinder somebody else's progression, that frustrates me a little, to hinder things for other people. [Chief information security officer describing the feeling of frustration if EMS tool may interrupt someone else’s work].</w:t>
            </w:r>
          </w:p>
          <w:p w14:paraId="6055580D"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UA10: It becomes a challenge to work with the internal organizations to kind of put in place the policies and procedures and what all you want to block or don't block [from EMS tools] or whatever-- all you want to do as far as an EMS. And then as soon as a VP, a president, a director, somebody complains, they want to change those policies. </w:t>
            </w:r>
            <w:proofErr w:type="gramStart"/>
            <w:r w:rsidRPr="008A6A6E">
              <w:rPr>
                <w:rFonts w:cs="Times New Roman"/>
                <w:kern w:val="0"/>
                <w:szCs w:val="24"/>
                <w:lang w:eastAsia="en-US"/>
              </w:rPr>
              <w:t>So</w:t>
            </w:r>
            <w:proofErr w:type="gramEnd"/>
            <w:r w:rsidRPr="008A6A6E">
              <w:rPr>
                <w:rFonts w:cs="Times New Roman"/>
                <w:kern w:val="0"/>
                <w:szCs w:val="24"/>
                <w:lang w:eastAsia="en-US"/>
              </w:rPr>
              <w:t xml:space="preserve"> there's a lot of frustration back and forth with the organizational levels and just trying to get something in place that's acceptable by everybody because it's really a moving target. [A solution engineer </w:t>
            </w:r>
            <w:r w:rsidRPr="008A6A6E">
              <w:rPr>
                <w:rFonts w:cs="Times New Roman"/>
                <w:kern w:val="0"/>
                <w:szCs w:val="24"/>
                <w:lang w:eastAsia="en-US"/>
              </w:rPr>
              <w:lastRenderedPageBreak/>
              <w:t>describing the hindrance stress he/she experiences at the organization level when EMS tools are put in place.]</w:t>
            </w:r>
          </w:p>
        </w:tc>
      </w:tr>
      <w:tr w:rsidR="003E5B95" w:rsidRPr="008A6A6E" w14:paraId="70B96EC0" w14:textId="77777777" w:rsidTr="003E5B95">
        <w:trPr>
          <w:cnfStyle w:val="000000100000" w:firstRow="0" w:lastRow="0" w:firstColumn="0" w:lastColumn="0" w:oddVBand="0" w:evenVBand="0" w:oddHBand="1" w:evenHBand="0" w:firstRowFirstColumn="0" w:firstRowLastColumn="0" w:lastRowFirstColumn="0" w:lastRowLastColumn="0"/>
          <w:trHeight w:val="504"/>
        </w:trPr>
        <w:tc>
          <w:tcPr>
            <w:cnfStyle w:val="001000000000" w:firstRow="0" w:lastRow="0" w:firstColumn="1" w:lastColumn="0" w:oddVBand="0" w:evenVBand="0" w:oddHBand="0" w:evenHBand="0" w:firstRowFirstColumn="0" w:firstRowLastColumn="0" w:lastRowFirstColumn="0" w:lastRowLastColumn="0"/>
            <w:tcW w:w="740" w:type="pct"/>
            <w:vMerge w:val="restart"/>
            <w:tcBorders>
              <w:bottom w:val="single" w:sz="4" w:space="0" w:color="auto"/>
              <w:right w:val="single" w:sz="4" w:space="0" w:color="auto"/>
            </w:tcBorders>
          </w:tcPr>
          <w:p w14:paraId="7181FA6D"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lastRenderedPageBreak/>
              <w:t xml:space="preserve">Stage III-Utilized stress: </w:t>
            </w:r>
          </w:p>
          <w:p w14:paraId="22711F43" w14:textId="77777777" w:rsidR="003E5B95" w:rsidRPr="008A6A6E" w:rsidRDefault="003E5B95" w:rsidP="003E5B95">
            <w:pPr>
              <w:spacing w:line="240" w:lineRule="auto"/>
              <w:ind w:firstLine="0"/>
              <w:contextualSpacing w:val="0"/>
              <w:rPr>
                <w:rFonts w:cs="Times New Roman"/>
                <w:b w:val="0"/>
                <w:bCs w:val="0"/>
                <w:kern w:val="0"/>
                <w:szCs w:val="24"/>
                <w:lang w:eastAsia="en-US"/>
              </w:rPr>
            </w:pPr>
            <w:r w:rsidRPr="008A6A6E">
              <w:rPr>
                <w:rFonts w:cs="Times New Roman"/>
                <w:b w:val="0"/>
                <w:bCs w:val="0"/>
                <w:kern w:val="0"/>
                <w:szCs w:val="24"/>
                <w:lang w:eastAsia="en-US"/>
              </w:rPr>
              <w:t xml:space="preserve">Adaptation efforts because of psychological experiences </w:t>
            </w:r>
          </w:p>
        </w:tc>
        <w:tc>
          <w:tcPr>
            <w:tcW w:w="714" w:type="pct"/>
            <w:tcBorders>
              <w:left w:val="single" w:sz="4" w:space="0" w:color="auto"/>
              <w:bottom w:val="single" w:sz="4" w:space="0" w:color="auto"/>
            </w:tcBorders>
          </w:tcPr>
          <w:p w14:paraId="68C903F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Savoring strategy (analytical theme). Indicators of savoring strategy include work adaptation, technology adaptation and self-adaptation</w:t>
            </w:r>
          </w:p>
        </w:tc>
        <w:tc>
          <w:tcPr>
            <w:tcW w:w="3546" w:type="pct"/>
            <w:tcBorders>
              <w:bottom w:val="single" w:sz="4" w:space="0" w:color="auto"/>
            </w:tcBorders>
          </w:tcPr>
          <w:p w14:paraId="02A9DE2C"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Savoring the challenge stress:</w:t>
            </w:r>
          </w:p>
          <w:p w14:paraId="49BCDD61" w14:textId="7A76152B"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UA16: Well, that's a good feeling [challenge stress], so I would just continue to I guess stay ahead of cybersecurity news, or I will just continue to do things in that area whether that maybe studying for another certification or something, just continue to stay on that track. [IT security analyst describing the feeling of challenge stress</w:t>
            </w:r>
            <w:r w:rsidR="00E91110">
              <w:rPr>
                <w:rFonts w:cs="Times New Roman"/>
                <w:kern w:val="0"/>
                <w:szCs w:val="24"/>
                <w:lang w:eastAsia="en-US"/>
              </w:rPr>
              <w:t xml:space="preserve">, </w:t>
            </w:r>
            <w:r w:rsidRPr="008A6A6E">
              <w:rPr>
                <w:rFonts w:cs="Times New Roman"/>
                <w:kern w:val="0"/>
                <w:szCs w:val="24"/>
                <w:lang w:eastAsia="en-US"/>
              </w:rPr>
              <w:t>and how he/she intensifies it].</w:t>
            </w:r>
          </w:p>
          <w:p w14:paraId="6D85B033"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Work adaptation, technology adaptation, and self-adaptation</w:t>
            </w:r>
          </w:p>
          <w:p w14:paraId="3CC57CD4"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UA10: If I was stressed out over that EMS solution, I would probably do something like a work adaptation. Just kind of modify what I'm doing to fit what I can and can't do so that the stressors-- or self-adaptation. Adjusting my personal habits to fit the requirements, right? Just kind of adapting. </w:t>
            </w:r>
          </w:p>
          <w:p w14:paraId="7F52A4DB"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UA12: I would say that I have </w:t>
            </w:r>
            <w:proofErr w:type="gramStart"/>
            <w:r w:rsidRPr="008A6A6E">
              <w:rPr>
                <w:rFonts w:cs="Times New Roman"/>
                <w:kern w:val="0"/>
                <w:szCs w:val="24"/>
                <w:lang w:eastAsia="en-US"/>
              </w:rPr>
              <w:t>definitely modified</w:t>
            </w:r>
            <w:proofErr w:type="gramEnd"/>
            <w:r w:rsidRPr="008A6A6E">
              <w:rPr>
                <w:rFonts w:cs="Times New Roman"/>
                <w:kern w:val="0"/>
                <w:szCs w:val="24"/>
                <w:lang w:eastAsia="en-US"/>
              </w:rPr>
              <w:t xml:space="preserve"> my work procedures so there's work adoption. Adaptation, sorry. I'll say self-adaptation with the modifier that once again I don't feel that I adjusted my personal habits. I felt my personal habits pretty much already fit the requirements and the technology. I would </w:t>
            </w:r>
            <w:proofErr w:type="gramStart"/>
            <w:r w:rsidRPr="008A6A6E">
              <w:rPr>
                <w:rFonts w:cs="Times New Roman"/>
                <w:kern w:val="0"/>
                <w:szCs w:val="24"/>
                <w:lang w:eastAsia="en-US"/>
              </w:rPr>
              <w:t>definitely say</w:t>
            </w:r>
            <w:proofErr w:type="gramEnd"/>
            <w:r w:rsidRPr="008A6A6E">
              <w:rPr>
                <w:rFonts w:cs="Times New Roman"/>
                <w:kern w:val="0"/>
                <w:szCs w:val="24"/>
                <w:lang w:eastAsia="en-US"/>
              </w:rPr>
              <w:t xml:space="preserve"> technology adaptation because I will look at the features and functionalities of it and tweak to match what I needed it to do for myself.</w:t>
            </w:r>
          </w:p>
          <w:p w14:paraId="208B6F94"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UA20: Work adaptation, modifying work procedure, cybersecurity you always got to modify your procedures and routines. </w:t>
            </w:r>
          </w:p>
          <w:p w14:paraId="20444AB9"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UA09: The important one would be the technology adaptation. Because there are technologies that are available, and people have invested time in that. And once you have the technology adaptation, then you </w:t>
            </w:r>
            <w:proofErr w:type="gramStart"/>
            <w:r w:rsidRPr="008A6A6E">
              <w:rPr>
                <w:rFonts w:cs="Times New Roman"/>
                <w:kern w:val="0"/>
                <w:szCs w:val="24"/>
                <w:lang w:eastAsia="en-US"/>
              </w:rPr>
              <w:t>have to</w:t>
            </w:r>
            <w:proofErr w:type="gramEnd"/>
            <w:r w:rsidRPr="008A6A6E">
              <w:rPr>
                <w:rFonts w:cs="Times New Roman"/>
                <w:kern w:val="0"/>
                <w:szCs w:val="24"/>
                <w:lang w:eastAsia="en-US"/>
              </w:rPr>
              <w:t xml:space="preserve"> do the self-adaptation in complement to that. Because if you have a new technology you need to learn about that.</w:t>
            </w:r>
          </w:p>
          <w:p w14:paraId="76F35965"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UA24: Maybe I'm blocked because I don't know something - it's limiting - so I might take some time to go figure that out, to return and fix something. [Chief Technology Officer describing his self-adaptation efforts]</w:t>
            </w:r>
          </w:p>
        </w:tc>
      </w:tr>
      <w:tr w:rsidR="003E5B95" w:rsidRPr="008A6A6E" w14:paraId="3FE120F8" w14:textId="77777777" w:rsidTr="003E5B95">
        <w:trPr>
          <w:trHeight w:val="504"/>
        </w:trPr>
        <w:tc>
          <w:tcPr>
            <w:cnfStyle w:val="001000000000" w:firstRow="0" w:lastRow="0" w:firstColumn="1" w:lastColumn="0" w:oddVBand="0" w:evenVBand="0" w:oddHBand="0" w:evenHBand="0" w:firstRowFirstColumn="0" w:firstRowLastColumn="0" w:lastRowFirstColumn="0" w:lastRowLastColumn="0"/>
            <w:tcW w:w="740" w:type="pct"/>
            <w:vMerge/>
            <w:tcBorders>
              <w:top w:val="single" w:sz="4" w:space="0" w:color="auto"/>
              <w:bottom w:val="single" w:sz="4" w:space="0" w:color="auto"/>
              <w:right w:val="single" w:sz="4" w:space="0" w:color="auto"/>
            </w:tcBorders>
          </w:tcPr>
          <w:p w14:paraId="14DAADB8" w14:textId="77777777" w:rsidR="003E5B95" w:rsidRPr="008A6A6E" w:rsidRDefault="003E5B95" w:rsidP="003E5B95">
            <w:pPr>
              <w:spacing w:line="240" w:lineRule="auto"/>
              <w:ind w:firstLine="0"/>
              <w:contextualSpacing w:val="0"/>
              <w:rPr>
                <w:rFonts w:cs="Times New Roman"/>
                <w:b w:val="0"/>
                <w:bCs w:val="0"/>
                <w:kern w:val="0"/>
                <w:szCs w:val="24"/>
                <w:lang w:eastAsia="en-US"/>
              </w:rPr>
            </w:pPr>
          </w:p>
        </w:tc>
        <w:tc>
          <w:tcPr>
            <w:tcW w:w="714" w:type="pct"/>
            <w:tcBorders>
              <w:top w:val="single" w:sz="4" w:space="0" w:color="auto"/>
              <w:left w:val="single" w:sz="4" w:space="0" w:color="auto"/>
              <w:bottom w:val="single" w:sz="4" w:space="0" w:color="auto"/>
            </w:tcBorders>
          </w:tcPr>
          <w:p w14:paraId="244729F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Coping strategy (analytical theme) </w:t>
            </w:r>
            <w:r w:rsidRPr="008A6A6E">
              <w:rPr>
                <w:rFonts w:cs="Times New Roman"/>
                <w:kern w:val="0"/>
                <w:szCs w:val="24"/>
                <w:lang w:eastAsia="en-US"/>
              </w:rPr>
              <w:lastRenderedPageBreak/>
              <w:t>Indicators of coping strategies are denial, distancing, venting, emotional support seeking, and wishful thinking</w:t>
            </w:r>
          </w:p>
        </w:tc>
        <w:tc>
          <w:tcPr>
            <w:tcW w:w="3546" w:type="pct"/>
            <w:tcBorders>
              <w:top w:val="single" w:sz="4" w:space="0" w:color="auto"/>
              <w:bottom w:val="single" w:sz="4" w:space="0" w:color="auto"/>
            </w:tcBorders>
          </w:tcPr>
          <w:p w14:paraId="59218C18"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UA09: Distancing. There you go. I'm good at that. [Vice President of Information Security describing one of his/her coping strategies]</w:t>
            </w:r>
          </w:p>
          <w:p w14:paraId="77086ABA"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UA10: I'm not going to do social support, seeking social support. Uh-uh. I do vent some. I probably would vent some if I was stressed.</w:t>
            </w:r>
          </w:p>
          <w:p w14:paraId="18F364FF"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UA14: I think I would just say sort of sharing with others, communicating what you're finding [from the analysis of the data collected from EMS tool], what you're feeling, and reporting so you don't feel that you're the only person dealing with that, so. And you're implementing these [EMS] tools in what you're finding. You want to make sure you report it broadly enough to where you don't feel like you're the only person seeing this information and that you can consult with others on how to deal with information. So I think talking to other people, reporting is very, very important I mean, an example that too would be networking with other users of the tool, maybe in other organizations, and what they're experiencing, so you can feel that you're not alone. [Partner with consulting firm describing the coping strategies in terms of communication, networking, and sharing the information with others].</w:t>
            </w:r>
          </w:p>
          <w:p w14:paraId="4C765531"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UA18: Distancing would be probably the next one just because of my personality. Yeah. What's funny that distancing I'd follow it up with seeking social support just because, unfortunately, as much as I don't like to admit it, I do like when people tell me I do a good job. [Chief Information Security Officer, describing his coping efforts]</w:t>
            </w:r>
          </w:p>
          <w:p w14:paraId="72AF085F" w14:textId="77777777" w:rsidR="003E5B95" w:rsidRPr="008A6A6E" w:rsidRDefault="003E5B95"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UA16: The feeling of hindrance, I feel like at that point then we can either, one, discuss things as a team to figure out what we can do better including management. And then from there, figure out whether it's pulling in our engineers or working on our tools to say like, "Hey, you know we're experiencing a lot of burnout from false positives, so could you help us tool our different rules and alerts?" Something of that effect. </w:t>
            </w:r>
            <w:proofErr w:type="gramStart"/>
            <w:r w:rsidRPr="008A6A6E">
              <w:rPr>
                <w:rFonts w:cs="Times New Roman"/>
                <w:kern w:val="0"/>
                <w:szCs w:val="24"/>
                <w:lang w:eastAsia="en-US"/>
              </w:rPr>
              <w:t>So</w:t>
            </w:r>
            <w:proofErr w:type="gramEnd"/>
            <w:r w:rsidRPr="008A6A6E">
              <w:rPr>
                <w:rFonts w:cs="Times New Roman"/>
                <w:kern w:val="0"/>
                <w:szCs w:val="24"/>
                <w:lang w:eastAsia="en-US"/>
              </w:rPr>
              <w:t xml:space="preserve"> from hindrance, I feel like that's where the-- in our organization, we can just go in and talk to the needed parties to kind of figure out a mediation process. [IT security analyst describing the feeling of hindrance stress and how to overcome that].</w:t>
            </w:r>
          </w:p>
        </w:tc>
      </w:tr>
    </w:tbl>
    <w:p w14:paraId="3ABA98B2" w14:textId="77777777" w:rsidR="003E5B95" w:rsidRPr="00AC29E4" w:rsidRDefault="003E5B95" w:rsidP="003E5B95">
      <w:pPr>
        <w:spacing w:line="240" w:lineRule="auto"/>
        <w:ind w:firstLine="0"/>
        <w:contextualSpacing w:val="0"/>
        <w:rPr>
          <w:rFonts w:cs="Times New Roman"/>
          <w:kern w:val="0"/>
          <w:sz w:val="18"/>
          <w:szCs w:val="18"/>
          <w:lang w:eastAsia="en-US"/>
        </w:rPr>
      </w:pPr>
    </w:p>
    <w:p w14:paraId="2380ACE6" w14:textId="77777777" w:rsidR="003E5B95" w:rsidRPr="00AC29E4" w:rsidRDefault="003E5B95" w:rsidP="003E5B95">
      <w:pPr>
        <w:spacing w:after="160" w:line="259" w:lineRule="auto"/>
        <w:ind w:firstLine="0"/>
        <w:contextualSpacing w:val="0"/>
        <w:rPr>
          <w:rFonts w:cs="Times New Roman"/>
          <w:kern w:val="0"/>
          <w:sz w:val="20"/>
          <w:lang w:eastAsia="en-US"/>
        </w:rPr>
      </w:pPr>
    </w:p>
    <w:p w14:paraId="1A75AAEE" w14:textId="77777777" w:rsidR="003E5B95" w:rsidRPr="00AC29E4" w:rsidRDefault="003E5B95" w:rsidP="003E5B95">
      <w:pPr>
        <w:spacing w:after="160" w:line="259" w:lineRule="auto"/>
        <w:ind w:firstLine="0"/>
        <w:contextualSpacing w:val="0"/>
        <w:rPr>
          <w:rFonts w:cs="Times New Roman"/>
          <w:b/>
          <w:bCs/>
          <w:color w:val="000000"/>
          <w:kern w:val="0"/>
          <w:szCs w:val="24"/>
          <w:lang w:eastAsia="en-US"/>
        </w:rPr>
        <w:sectPr w:rsidR="003E5B95" w:rsidRPr="00AC29E4" w:rsidSect="00DF56B1">
          <w:pgSz w:w="15840" w:h="12240" w:orient="landscape" w:code="1"/>
          <w:pgMar w:top="1440" w:right="1440" w:bottom="1440" w:left="1440" w:header="720" w:footer="720" w:gutter="0"/>
          <w:cols w:space="720"/>
          <w:docGrid w:linePitch="360"/>
        </w:sectPr>
      </w:pPr>
    </w:p>
    <w:p w14:paraId="2F2B28DB" w14:textId="77777777" w:rsidR="003E5B95" w:rsidRPr="009A5CA0" w:rsidRDefault="003E5B95" w:rsidP="003E5B95">
      <w:pPr>
        <w:pStyle w:val="Heading1"/>
        <w:rPr>
          <w:b/>
          <w:bCs/>
          <w:lang w:eastAsia="en-US"/>
        </w:rPr>
      </w:pPr>
      <w:bookmarkStart w:id="303" w:name="_Toc74087558"/>
      <w:bookmarkStart w:id="304" w:name="_Toc74258674"/>
      <w:r w:rsidRPr="009A5CA0">
        <w:rPr>
          <w:b/>
          <w:bCs/>
          <w:lang w:eastAsia="en-US"/>
        </w:rPr>
        <w:lastRenderedPageBreak/>
        <w:t>APPENDIX I: SURVEY INSTRUMENT FOR QUANTITATIVE STUDY</w:t>
      </w:r>
      <w:bookmarkEnd w:id="303"/>
      <w:bookmarkEnd w:id="304"/>
    </w:p>
    <w:p w14:paraId="25CB1C79" w14:textId="77777777" w:rsidR="003E5B95" w:rsidRPr="007969B7" w:rsidRDefault="003E5B95" w:rsidP="003E5B95">
      <w:pPr>
        <w:pStyle w:val="Caption"/>
        <w:keepNext/>
        <w:spacing w:line="480" w:lineRule="auto"/>
        <w:rPr>
          <w:sz w:val="24"/>
          <w:szCs w:val="24"/>
        </w:rPr>
      </w:pPr>
      <w:bookmarkStart w:id="305" w:name="_Toc73955269"/>
      <w:bookmarkStart w:id="306" w:name="_Toc74074430"/>
      <w:r w:rsidRPr="007969B7">
        <w:rPr>
          <w:sz w:val="24"/>
          <w:szCs w:val="24"/>
        </w:rPr>
        <w:t>Table I1</w:t>
      </w:r>
    </w:p>
    <w:p w14:paraId="7C10094C" w14:textId="77777777" w:rsidR="003E5B95" w:rsidRPr="007969B7" w:rsidRDefault="003E5B95" w:rsidP="003E5B95">
      <w:pPr>
        <w:pStyle w:val="Caption"/>
        <w:keepNext/>
        <w:spacing w:line="480" w:lineRule="auto"/>
        <w:rPr>
          <w:b w:val="0"/>
          <w:bCs/>
          <w:i/>
          <w:iCs w:val="0"/>
          <w:sz w:val="24"/>
          <w:szCs w:val="24"/>
        </w:rPr>
      </w:pPr>
      <w:bookmarkStart w:id="307" w:name="_Toc73917989"/>
      <w:r w:rsidRPr="007969B7">
        <w:rPr>
          <w:b w:val="0"/>
          <w:bCs/>
          <w:i/>
          <w:iCs w:val="0"/>
          <w:sz w:val="24"/>
          <w:szCs w:val="24"/>
        </w:rPr>
        <w:t>Instrument Details</w:t>
      </w:r>
      <w:bookmarkEnd w:id="305"/>
      <w:bookmarkEnd w:id="306"/>
      <w:bookmarkEnd w:id="307"/>
    </w:p>
    <w:tbl>
      <w:tblPr>
        <w:tblStyle w:val="PlainTable4"/>
        <w:tblW w:w="12775" w:type="dxa"/>
        <w:tblLook w:val="04A0" w:firstRow="1" w:lastRow="0" w:firstColumn="1" w:lastColumn="0" w:noHBand="0" w:noVBand="1"/>
      </w:tblPr>
      <w:tblGrid>
        <w:gridCol w:w="1435"/>
        <w:gridCol w:w="2070"/>
        <w:gridCol w:w="9270"/>
      </w:tblGrid>
      <w:tr w:rsidR="003E5B95" w:rsidRPr="008A6A6E" w14:paraId="4D97E2F4" w14:textId="77777777" w:rsidTr="003E5B95">
        <w:trPr>
          <w:cnfStyle w:val="100000000000" w:firstRow="1" w:lastRow="0" w:firstColumn="0" w:lastColumn="0" w:oddVBand="0" w:evenVBand="0" w:oddHBand="0" w:evenHBand="0" w:firstRowFirstColumn="0" w:firstRowLastColumn="0" w:lastRowFirstColumn="0" w:lastRowLastColumn="0"/>
          <w:trHeight w:val="576"/>
          <w:tblHeader/>
        </w:trPr>
        <w:tc>
          <w:tcPr>
            <w:cnfStyle w:val="001000000000" w:firstRow="0" w:lastRow="0" w:firstColumn="1" w:lastColumn="0" w:oddVBand="0" w:evenVBand="0" w:oddHBand="0" w:evenHBand="0" w:firstRowFirstColumn="0" w:firstRowLastColumn="0" w:lastRowFirstColumn="0" w:lastRowLastColumn="0"/>
            <w:tcW w:w="1435" w:type="dxa"/>
            <w:tcBorders>
              <w:top w:val="single" w:sz="4" w:space="0" w:color="auto"/>
              <w:bottom w:val="single" w:sz="4" w:space="0" w:color="auto"/>
              <w:right w:val="single" w:sz="4" w:space="0" w:color="auto"/>
            </w:tcBorders>
          </w:tcPr>
          <w:p w14:paraId="0E41A36C"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Type and purpose</w:t>
            </w:r>
          </w:p>
        </w:tc>
        <w:tc>
          <w:tcPr>
            <w:tcW w:w="2070" w:type="dxa"/>
            <w:tcBorders>
              <w:top w:val="single" w:sz="4" w:space="0" w:color="auto"/>
              <w:left w:val="single" w:sz="4" w:space="0" w:color="auto"/>
              <w:bottom w:val="single" w:sz="4" w:space="0" w:color="auto"/>
            </w:tcBorders>
          </w:tcPr>
          <w:p w14:paraId="07270EA0" w14:textId="77777777" w:rsidR="003E5B95" w:rsidRPr="008A6A6E" w:rsidRDefault="003E5B95" w:rsidP="003E5B95">
            <w:pPr>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 or variable</w:t>
            </w:r>
          </w:p>
        </w:tc>
        <w:tc>
          <w:tcPr>
            <w:tcW w:w="9270" w:type="dxa"/>
            <w:tcBorders>
              <w:top w:val="single" w:sz="4" w:space="0" w:color="auto"/>
              <w:bottom w:val="single" w:sz="4" w:space="0" w:color="auto"/>
            </w:tcBorders>
          </w:tcPr>
          <w:p w14:paraId="0068BFEF" w14:textId="77777777" w:rsidR="003E5B95" w:rsidRPr="008A6A6E" w:rsidRDefault="003E5B95" w:rsidP="003E5B95">
            <w:pPr>
              <w:widowControl w:val="0"/>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Items</w:t>
            </w:r>
          </w:p>
        </w:tc>
      </w:tr>
      <w:tr w:rsidR="003E5B95" w:rsidRPr="008A6A6E" w14:paraId="16466164"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top w:val="single" w:sz="4" w:space="0" w:color="auto"/>
              <w:right w:val="single" w:sz="4" w:space="0" w:color="auto"/>
            </w:tcBorders>
          </w:tcPr>
          <w:p w14:paraId="56EA8E25"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Filter question</w:t>
            </w:r>
          </w:p>
        </w:tc>
        <w:tc>
          <w:tcPr>
            <w:tcW w:w="2070" w:type="dxa"/>
            <w:tcBorders>
              <w:top w:val="single" w:sz="4" w:space="0" w:color="auto"/>
              <w:left w:val="single" w:sz="4" w:space="0" w:color="auto"/>
            </w:tcBorders>
          </w:tcPr>
          <w:p w14:paraId="7F5C120E"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F1</w:t>
            </w:r>
          </w:p>
        </w:tc>
        <w:tc>
          <w:tcPr>
            <w:tcW w:w="9270" w:type="dxa"/>
            <w:tcBorders>
              <w:top w:val="single" w:sz="4" w:space="0" w:color="auto"/>
            </w:tcBorders>
          </w:tcPr>
          <w:p w14:paraId="0A2DA38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Before we begin the survey, we want to know what kind of work you have done in your IT career.</w:t>
            </w:r>
          </w:p>
          <w:p w14:paraId="13E6BF52"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 [A. Information security technology management, B. Information security policy development/implementation, C. Troubleshooting for information security problems, D. Conducting information security training, E. IT infrastructure/Outsourcing/Systems Integration, Network products (LAN, wireless, routers, etc.), F. Computer service/IT business solutions]</w:t>
            </w:r>
          </w:p>
        </w:tc>
      </w:tr>
      <w:tr w:rsidR="003E5B95" w:rsidRPr="008A6A6E" w14:paraId="1B6AEFB5"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25130070"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Filter question</w:t>
            </w:r>
          </w:p>
        </w:tc>
        <w:tc>
          <w:tcPr>
            <w:tcW w:w="2070" w:type="dxa"/>
            <w:tcBorders>
              <w:left w:val="single" w:sz="4" w:space="0" w:color="auto"/>
            </w:tcBorders>
          </w:tcPr>
          <w:p w14:paraId="65048A9F"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F2</w:t>
            </w:r>
          </w:p>
        </w:tc>
        <w:tc>
          <w:tcPr>
            <w:tcW w:w="9270" w:type="dxa"/>
          </w:tcPr>
          <w:p w14:paraId="7A46EFF7" w14:textId="3F31AE09"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shd w:val="clear" w:color="auto" w:fill="FFFFFF"/>
                <w:lang w:eastAsia="en-US"/>
              </w:rPr>
            </w:pPr>
            <w:r w:rsidRPr="008A6A6E">
              <w:rPr>
                <w:rFonts w:cs="Times New Roman"/>
                <w:kern w:val="0"/>
                <w:szCs w:val="24"/>
                <w:shd w:val="clear" w:color="auto" w:fill="FFFFFF"/>
                <w:lang w:eastAsia="en-US"/>
              </w:rPr>
              <w:t xml:space="preserve">Select one of the following employee monitoring practices you </w:t>
            </w:r>
            <w:r w:rsidR="00E91110">
              <w:rPr>
                <w:rFonts w:cs="Times New Roman"/>
                <w:kern w:val="0"/>
                <w:szCs w:val="24"/>
                <w:shd w:val="clear" w:color="auto" w:fill="FFFFFF"/>
                <w:lang w:eastAsia="en-US"/>
              </w:rPr>
              <w:t xml:space="preserve">are </w:t>
            </w:r>
            <w:r w:rsidRPr="008A6A6E">
              <w:rPr>
                <w:rFonts w:cs="Times New Roman"/>
                <w:kern w:val="0"/>
                <w:szCs w:val="24"/>
                <w:shd w:val="clear" w:color="auto" w:fill="FFFFFF"/>
                <w:lang w:eastAsia="en-US"/>
              </w:rPr>
              <w:t>currently responsible for at your place of work? You can also select one of the practices based on your previous experience. </w:t>
            </w:r>
          </w:p>
          <w:p w14:paraId="0E70E0C0" w14:textId="2865A74B"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shd w:val="clear" w:color="auto" w:fill="FFFFFF"/>
                <w:lang w:eastAsia="en-US"/>
              </w:rPr>
            </w:pPr>
            <w:r w:rsidRPr="008A6A6E">
              <w:rPr>
                <w:rFonts w:cs="Times New Roman"/>
                <w:kern w:val="0"/>
                <w:szCs w:val="24"/>
                <w:shd w:val="clear" w:color="auto" w:fill="FFFFFF"/>
                <w:lang w:eastAsia="en-US"/>
              </w:rPr>
              <w:t xml:space="preserve">[A. </w:t>
            </w:r>
            <w:r w:rsidRPr="008A6A6E">
              <w:rPr>
                <w:rFonts w:cs="Times New Roman"/>
                <w:kern w:val="0"/>
                <w:szCs w:val="24"/>
                <w:lang w:eastAsia="en-US"/>
              </w:rPr>
              <w:t>Keystroke logger, B. Hallway camera, C. Web proxy, D. User behavior analytics (UBA), E. Phishing assessment (e.g., PhishMe), F. Internet and app monitoring (proxies monitor which sites someone has visited and for how long). G. Keyboard mouse behavior, H. GPS tracking (e.g.</w:t>
            </w:r>
            <w:r w:rsidR="00E91110">
              <w:rPr>
                <w:rFonts w:cs="Times New Roman"/>
                <w:kern w:val="0"/>
                <w:szCs w:val="24"/>
                <w:lang w:eastAsia="en-US"/>
              </w:rPr>
              <w:t>,</w:t>
            </w:r>
            <w:r w:rsidRPr="008A6A6E">
              <w:rPr>
                <w:rFonts w:cs="Times New Roman"/>
                <w:kern w:val="0"/>
                <w:szCs w:val="24"/>
                <w:lang w:eastAsia="en-US"/>
              </w:rPr>
              <w:t xml:space="preserve"> company phone tracking and company vehicle tracking), I. Call monitoring, J. Audio surveillance, K. Access badge tracking, L. Remote access log (e.g.</w:t>
            </w:r>
            <w:r w:rsidR="00E91110">
              <w:rPr>
                <w:rFonts w:cs="Times New Roman"/>
                <w:kern w:val="0"/>
                <w:szCs w:val="24"/>
                <w:lang w:eastAsia="en-US"/>
              </w:rPr>
              <w:t>,</w:t>
            </w:r>
            <w:r w:rsidRPr="008A6A6E">
              <w:rPr>
                <w:rFonts w:cs="Times New Roman"/>
                <w:kern w:val="0"/>
                <w:szCs w:val="24"/>
                <w:lang w:eastAsia="en-US"/>
              </w:rPr>
              <w:t xml:space="preserve"> how often employees work remotely), M. Intrusion detection system, N. Security Information and Event Management (SEIM) tool]</w:t>
            </w:r>
          </w:p>
        </w:tc>
      </w:tr>
      <w:tr w:rsidR="003E5B95" w:rsidRPr="008A6A6E" w14:paraId="061464EB"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707AB0F1"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Filter question</w:t>
            </w:r>
          </w:p>
        </w:tc>
        <w:tc>
          <w:tcPr>
            <w:tcW w:w="2070" w:type="dxa"/>
            <w:tcBorders>
              <w:left w:val="single" w:sz="4" w:space="0" w:color="auto"/>
            </w:tcBorders>
          </w:tcPr>
          <w:p w14:paraId="2DE3049D"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Job description (NIST-NICE framework)</w:t>
            </w:r>
          </w:p>
        </w:tc>
        <w:tc>
          <w:tcPr>
            <w:tcW w:w="9270" w:type="dxa"/>
          </w:tcPr>
          <w:p w14:paraId="7934C6A2" w14:textId="04EAC4EC"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As we move forward with the survey, we want to know a little about your role as a cybersecurity professional. Please select the role with which you most closely identify.</w:t>
            </w:r>
            <w:r w:rsidR="00E91110">
              <w:rPr>
                <w:rFonts w:eastAsia="Times New Roman" w:cs="Times New Roman"/>
                <w:color w:val="000000"/>
                <w:kern w:val="0"/>
                <w:szCs w:val="24"/>
                <w:lang w:eastAsia="en-US"/>
              </w:rPr>
              <w:t xml:space="preserve"> </w:t>
            </w:r>
            <w:r w:rsidRPr="008A6A6E">
              <w:rPr>
                <w:rFonts w:eastAsia="Times New Roman" w:cs="Times New Roman"/>
                <w:color w:val="000000"/>
                <w:kern w:val="0"/>
                <w:szCs w:val="24"/>
                <w:lang w:eastAsia="en-US"/>
              </w:rPr>
              <w:t>Check more than one if it applies to you.</w:t>
            </w:r>
          </w:p>
          <w:p w14:paraId="78B53F9E"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 Operate and Maintain- Provide the support, administration, and maintenance necessary to ensure effective and efﬁcient information technology (IT) system performance and security.</w:t>
            </w:r>
          </w:p>
          <w:p w14:paraId="5C567985"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 Oversee and govern-I provide leadership, management, direction, or development and advocacy so my organization may effectively conduct cybersecurity work.</w:t>
            </w:r>
          </w:p>
          <w:p w14:paraId="7C80DD85"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lastRenderedPageBreak/>
              <w:t>C. Protect and defend-Identify, analyze, and mitigate threats to internal information technology (IT) systems and/or networks.</w:t>
            </w:r>
          </w:p>
          <w:p w14:paraId="76BF4155"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D. Analyze- Perform highly specialized review and evaluation of incoming cybersecurity information to determine its usefulness for intelligence.</w:t>
            </w:r>
          </w:p>
          <w:p w14:paraId="223A4A33"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E. Collect and operate-Provide specialized denial and deception operations and collection of cybersecurity information that may be used to develop intelligence.</w:t>
            </w:r>
          </w:p>
          <w:p w14:paraId="313D44CB"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 Investigate- Investigate cybersecurity events or crimes related to information technology (IT) systems, networks, and digital evidence.</w:t>
            </w:r>
          </w:p>
          <w:p w14:paraId="1684F76A" w14:textId="77777777" w:rsidR="003E5B95" w:rsidRPr="008A6A6E" w:rsidRDefault="003E5B95" w:rsidP="003E5B95">
            <w:pPr>
              <w:numPr>
                <w:ilvl w:val="0"/>
                <w:numId w:val="6"/>
              </w:numPr>
              <w:spacing w:line="240" w:lineRule="auto"/>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G. Conceptualizes, designs, procures, and/or builds secure information technology (IT) systems, with responsibility for aspects of the system and/or network development.</w:t>
            </w:r>
          </w:p>
        </w:tc>
      </w:tr>
      <w:tr w:rsidR="003E5B95" w:rsidRPr="008A6A6E" w14:paraId="641F9895"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577042D1"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lastRenderedPageBreak/>
              <w:t>Control</w:t>
            </w:r>
          </w:p>
        </w:tc>
        <w:tc>
          <w:tcPr>
            <w:tcW w:w="2070" w:type="dxa"/>
            <w:tcBorders>
              <w:left w:val="single" w:sz="4" w:space="0" w:color="auto"/>
            </w:tcBorders>
          </w:tcPr>
          <w:p w14:paraId="08C035A7"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Gender </w:t>
            </w:r>
          </w:p>
        </w:tc>
        <w:tc>
          <w:tcPr>
            <w:tcW w:w="9270" w:type="dxa"/>
          </w:tcPr>
          <w:p w14:paraId="50D70675"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Male/Female</w:t>
            </w:r>
          </w:p>
        </w:tc>
      </w:tr>
      <w:tr w:rsidR="003E5B95" w:rsidRPr="008A6A6E" w14:paraId="204F8884"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2B2D836B"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Control</w:t>
            </w:r>
          </w:p>
        </w:tc>
        <w:tc>
          <w:tcPr>
            <w:tcW w:w="2070" w:type="dxa"/>
            <w:tcBorders>
              <w:left w:val="single" w:sz="4" w:space="0" w:color="auto"/>
            </w:tcBorders>
          </w:tcPr>
          <w:p w14:paraId="0C1759F2"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Age </w:t>
            </w:r>
          </w:p>
        </w:tc>
        <w:tc>
          <w:tcPr>
            <w:tcW w:w="9270" w:type="dxa"/>
          </w:tcPr>
          <w:p w14:paraId="76E2439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18–24 years</w:t>
            </w:r>
          </w:p>
          <w:p w14:paraId="6149192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25–34 years</w:t>
            </w:r>
          </w:p>
          <w:p w14:paraId="4C55F642"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35–44 years</w:t>
            </w:r>
          </w:p>
          <w:p w14:paraId="18D511B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45–54 years</w:t>
            </w:r>
          </w:p>
          <w:p w14:paraId="4114E40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55–65 years</w:t>
            </w:r>
          </w:p>
          <w:p w14:paraId="597DD9BB"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66-74 years</w:t>
            </w:r>
          </w:p>
          <w:p w14:paraId="4C16C34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75 and above</w:t>
            </w:r>
          </w:p>
        </w:tc>
      </w:tr>
      <w:tr w:rsidR="003E5B95" w:rsidRPr="008A6A6E" w14:paraId="3F163CE3"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2634E920"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Control</w:t>
            </w:r>
          </w:p>
        </w:tc>
        <w:tc>
          <w:tcPr>
            <w:tcW w:w="2070" w:type="dxa"/>
            <w:tcBorders>
              <w:left w:val="single" w:sz="4" w:space="0" w:color="auto"/>
            </w:tcBorders>
          </w:tcPr>
          <w:p w14:paraId="56E03ACE"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Education </w:t>
            </w:r>
          </w:p>
        </w:tc>
        <w:tc>
          <w:tcPr>
            <w:tcW w:w="9270" w:type="dxa"/>
          </w:tcPr>
          <w:p w14:paraId="733CC3EE"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Some high school but no degree</w:t>
            </w:r>
          </w:p>
          <w:p w14:paraId="7D356C28"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High school graduate</w:t>
            </w:r>
          </w:p>
          <w:p w14:paraId="05832D8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Some college but no degree</w:t>
            </w:r>
          </w:p>
          <w:p w14:paraId="147726CF"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Bachelor's degree</w:t>
            </w:r>
          </w:p>
          <w:p w14:paraId="3A18899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Master's degree</w:t>
            </w:r>
          </w:p>
          <w:p w14:paraId="5A63877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Professional degree</w:t>
            </w:r>
          </w:p>
          <w:p w14:paraId="3751257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Doctorate degree</w:t>
            </w:r>
          </w:p>
        </w:tc>
      </w:tr>
      <w:tr w:rsidR="003E5B95" w:rsidRPr="008A6A6E" w14:paraId="24657158"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532AAC53"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Control</w:t>
            </w:r>
          </w:p>
        </w:tc>
        <w:tc>
          <w:tcPr>
            <w:tcW w:w="2070" w:type="dxa"/>
            <w:tcBorders>
              <w:left w:val="single" w:sz="4" w:space="0" w:color="auto"/>
            </w:tcBorders>
          </w:tcPr>
          <w:p w14:paraId="2721E08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Years of EMS experience</w:t>
            </w:r>
          </w:p>
        </w:tc>
        <w:tc>
          <w:tcPr>
            <w:tcW w:w="9270" w:type="dxa"/>
          </w:tcPr>
          <w:p w14:paraId="59AF052A" w14:textId="73860A8E"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For how long have</w:t>
            </w:r>
            <w:r w:rsidR="00E91110">
              <w:rPr>
                <w:rFonts w:eastAsia="Times New Roman" w:cs="Times New Roman"/>
                <w:color w:val="000000"/>
                <w:kern w:val="0"/>
                <w:szCs w:val="24"/>
                <w:lang w:eastAsia="en-US"/>
              </w:rPr>
              <w:t xml:space="preserve"> you </w:t>
            </w:r>
            <w:r w:rsidRPr="008A6A6E">
              <w:rPr>
                <w:rFonts w:eastAsia="Times New Roman" w:cs="Times New Roman"/>
                <w:color w:val="000000"/>
                <w:kern w:val="0"/>
                <w:szCs w:val="24"/>
                <w:lang w:eastAsia="en-US"/>
              </w:rPr>
              <w:t>been working with employee monitoring and surveillance technology (your overall experience regardless of employer)?</w:t>
            </w:r>
          </w:p>
          <w:p w14:paraId="2A65F49A" w14:textId="77777777" w:rsidR="003E5B95" w:rsidRPr="008A6A6E" w:rsidRDefault="003E5B95" w:rsidP="003E5B95">
            <w:pPr>
              <w:widowControl w:val="0"/>
              <w:numPr>
                <w:ilvl w:val="0"/>
                <w:numId w:val="7"/>
              </w:numPr>
              <w:spacing w:line="240" w:lineRule="auto"/>
              <w:ind w:left="274" w:hanging="274"/>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Less than one year, B. 1-5 years, C. 6-10 years, D. 11-15 years, F. 15 years or more.</w:t>
            </w:r>
          </w:p>
        </w:tc>
      </w:tr>
      <w:tr w:rsidR="003E5B95" w:rsidRPr="008A6A6E" w14:paraId="511A5D99"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62B9F5B0"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lastRenderedPageBreak/>
              <w:t>Control</w:t>
            </w:r>
          </w:p>
        </w:tc>
        <w:tc>
          <w:tcPr>
            <w:tcW w:w="2070" w:type="dxa"/>
            <w:tcBorders>
              <w:left w:val="single" w:sz="4" w:space="0" w:color="auto"/>
            </w:tcBorders>
          </w:tcPr>
          <w:p w14:paraId="13134E0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Tenure with current employer</w:t>
            </w:r>
          </w:p>
        </w:tc>
        <w:tc>
          <w:tcPr>
            <w:tcW w:w="9270" w:type="dxa"/>
          </w:tcPr>
          <w:p w14:paraId="66A574BA"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Please indicate your tenure within your current organization</w:t>
            </w:r>
          </w:p>
          <w:p w14:paraId="747BEC04" w14:textId="77777777" w:rsidR="003E5B95" w:rsidRPr="008A6A6E" w:rsidRDefault="003E5B95" w:rsidP="003E5B95">
            <w:pPr>
              <w:widowControl w:val="0"/>
              <w:numPr>
                <w:ilvl w:val="0"/>
                <w:numId w:val="8"/>
              </w:numPr>
              <w:spacing w:line="240" w:lineRule="auto"/>
              <w:ind w:left="274" w:hanging="274"/>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Less than one year, B. 1-5 years, C. 6-10 years, D. 11-15 years, 15 years or more</w:t>
            </w:r>
          </w:p>
        </w:tc>
      </w:tr>
      <w:tr w:rsidR="003E5B95" w:rsidRPr="008A6A6E" w14:paraId="33B9C82D"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7B859211"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tcBorders>
          </w:tcPr>
          <w:p w14:paraId="4E418E0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Big-5: Extroversion</w:t>
            </w:r>
          </w:p>
        </w:tc>
        <w:tc>
          <w:tcPr>
            <w:tcW w:w="9270" w:type="dxa"/>
          </w:tcPr>
          <w:p w14:paraId="43F3C74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EXT1 [R]. Tend to be quiet </w:t>
            </w:r>
          </w:p>
          <w:p w14:paraId="7A30522B"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EXT2. Am dominant, act as a leader </w:t>
            </w:r>
          </w:p>
          <w:p w14:paraId="2ACD2CFD"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EXT3. Am full of energy</w:t>
            </w:r>
          </w:p>
          <w:p w14:paraId="1C43B902"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EXT4. Am outgoing, sociable </w:t>
            </w:r>
          </w:p>
          <w:p w14:paraId="6D1D460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EXT5. Am less active than other people </w:t>
            </w:r>
          </w:p>
          <w:p w14:paraId="1715A078"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All Big-5 personality traits: [Five-point Likert-type scale anchored with “strongly disagree” and “strongly agree”]; adapted from Soto and John (2017)</w:t>
            </w:r>
          </w:p>
        </w:tc>
      </w:tr>
      <w:tr w:rsidR="003E5B95" w:rsidRPr="008A6A6E" w14:paraId="6CB538A9"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7941431B"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tcBorders>
          </w:tcPr>
          <w:p w14:paraId="57B85E1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 Big-5: Agreeableness</w:t>
            </w:r>
          </w:p>
        </w:tc>
        <w:tc>
          <w:tcPr>
            <w:tcW w:w="9270" w:type="dxa"/>
          </w:tcPr>
          <w:p w14:paraId="56FD845F"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AGR1. Am compassionate, have a soft heart</w:t>
            </w:r>
          </w:p>
          <w:p w14:paraId="56CC145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AGR2. Am sometimes rude to others </w:t>
            </w:r>
          </w:p>
          <w:p w14:paraId="6E343F2A"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AGR3. Assume the best about people</w:t>
            </w:r>
          </w:p>
          <w:p w14:paraId="656822FF"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AGR4 [R]. Can be cold and uncaring</w:t>
            </w:r>
          </w:p>
          <w:p w14:paraId="67136A7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AGR5. Am respectful, treat others with respect</w:t>
            </w:r>
          </w:p>
          <w:p w14:paraId="6EE89BF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AGR6 [R]. Tend to find fault with others</w:t>
            </w:r>
          </w:p>
        </w:tc>
      </w:tr>
      <w:tr w:rsidR="003E5B95" w:rsidRPr="008A6A6E" w14:paraId="262A4823"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7F4BA00E"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tcBorders>
          </w:tcPr>
          <w:p w14:paraId="1348323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Big-5: Negative Emotionality</w:t>
            </w:r>
          </w:p>
        </w:tc>
        <w:tc>
          <w:tcPr>
            <w:tcW w:w="9270" w:type="dxa"/>
          </w:tcPr>
          <w:p w14:paraId="53BC69C9"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NEG1. Worry a lot</w:t>
            </w:r>
          </w:p>
          <w:p w14:paraId="7E33281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NEG2. Tend to feel depressed, blue</w:t>
            </w:r>
          </w:p>
          <w:p w14:paraId="0B9720E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NEG3[R]. Am emotionally stable, not easily upset</w:t>
            </w:r>
          </w:p>
          <w:p w14:paraId="3FD515B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NEG4[R]. Am relaxed, handle stress well</w:t>
            </w:r>
          </w:p>
          <w:p w14:paraId="6CAE7C8B"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NEG5[R]. Feel secure, comfortable with self</w:t>
            </w:r>
          </w:p>
          <w:p w14:paraId="7CECDEB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NEG6. Am temperamental, get emotional easily</w:t>
            </w:r>
          </w:p>
        </w:tc>
      </w:tr>
      <w:tr w:rsidR="003E5B95" w:rsidRPr="008A6A6E" w14:paraId="135F0585"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3F1E3F35"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tcBorders>
          </w:tcPr>
          <w:p w14:paraId="066B9B97"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Big-5: Conscientiousness</w:t>
            </w:r>
          </w:p>
        </w:tc>
        <w:tc>
          <w:tcPr>
            <w:tcW w:w="9270" w:type="dxa"/>
          </w:tcPr>
          <w:p w14:paraId="693CA055"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CON1 [R]. Tend to be disorganized</w:t>
            </w:r>
          </w:p>
          <w:p w14:paraId="55DFCAB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CON2 [R]. Have difficulty getting started on tasks</w:t>
            </w:r>
          </w:p>
          <w:p w14:paraId="0570FFF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CON3. Am reliable, can always be counted on</w:t>
            </w:r>
          </w:p>
          <w:p w14:paraId="5B194C26"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CON4. Keep things neat and tidy</w:t>
            </w:r>
          </w:p>
          <w:p w14:paraId="748B3354"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CON5. Am persistent works until the task is finished</w:t>
            </w:r>
          </w:p>
          <w:p w14:paraId="1B3D227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CON6[R]. Can be somewhat careless</w:t>
            </w:r>
          </w:p>
        </w:tc>
      </w:tr>
      <w:tr w:rsidR="003E5B95" w:rsidRPr="008A6A6E" w14:paraId="2D257B03"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3F638932"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tcBorders>
          </w:tcPr>
          <w:p w14:paraId="689320B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Big-5: Open-Mindedness</w:t>
            </w:r>
          </w:p>
        </w:tc>
        <w:tc>
          <w:tcPr>
            <w:tcW w:w="9270" w:type="dxa"/>
          </w:tcPr>
          <w:p w14:paraId="6F5C3A9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OPEN1. Am fascinated by art, music, or literature</w:t>
            </w:r>
          </w:p>
          <w:p w14:paraId="403FBE3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OPEN2[R]. Have little interest in abstract ideas</w:t>
            </w:r>
          </w:p>
          <w:p w14:paraId="68703ED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OPEN3. Am original, come up with new ideas</w:t>
            </w:r>
          </w:p>
          <w:p w14:paraId="352753D6"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OPEN4[R]. Have few artistic interests</w:t>
            </w:r>
          </w:p>
          <w:p w14:paraId="40C8062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lastRenderedPageBreak/>
              <w:t>OPEN5. Am complex, a deep thinker</w:t>
            </w:r>
          </w:p>
          <w:p w14:paraId="54A0854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OPEN6[R]. Have little creativity</w:t>
            </w:r>
          </w:p>
        </w:tc>
      </w:tr>
      <w:tr w:rsidR="003E5B95" w:rsidRPr="008A6A6E" w14:paraId="468B0738"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11ECFEDB"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lastRenderedPageBreak/>
              <w:t xml:space="preserve">Independent variable </w:t>
            </w:r>
          </w:p>
        </w:tc>
        <w:tc>
          <w:tcPr>
            <w:tcW w:w="2070" w:type="dxa"/>
            <w:tcBorders>
              <w:left w:val="single" w:sz="4" w:space="0" w:color="auto"/>
            </w:tcBorders>
          </w:tcPr>
          <w:p w14:paraId="4BF9C617"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Usefulness</w:t>
            </w:r>
          </w:p>
          <w:p w14:paraId="4831327A"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w:t>
            </w:r>
            <w:r w:rsidRPr="008A6A6E">
              <w:rPr>
                <w:rFonts w:eastAsia="Times New Roman" w:cs="Times New Roman"/>
                <w:bCs/>
                <w:noProof/>
                <w:color w:val="000000"/>
                <w:kern w:val="0"/>
                <w:szCs w:val="24"/>
                <w:lang w:eastAsia="en-US"/>
              </w:rPr>
              <w:t>Ayyagari et al. (2011)</w:t>
            </w:r>
          </w:p>
        </w:tc>
        <w:tc>
          <w:tcPr>
            <w:tcW w:w="9270" w:type="dxa"/>
          </w:tcPr>
          <w:p w14:paraId="226A4F2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Now consider your current implementation of [employee monitoring type]. For each of the following statements, select a single score.</w:t>
            </w:r>
          </w:p>
          <w:p w14:paraId="636B8D6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xml:space="preserve">USE1. The use of [employee monitoring type] enables me to accomplish tasks more quickly. </w:t>
            </w:r>
          </w:p>
          <w:p w14:paraId="301C29B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u w:val="single"/>
                <w:lang w:eastAsia="en-US"/>
              </w:rPr>
            </w:pPr>
            <w:r w:rsidRPr="008A6A6E">
              <w:rPr>
                <w:rFonts w:eastAsia="Times New Roman" w:cs="Times New Roman"/>
                <w:kern w:val="0"/>
                <w:szCs w:val="24"/>
                <w:lang w:eastAsia="en-US"/>
              </w:rPr>
              <w:t>USE2. The use of [employee monitoring type] improves the quality of my work.</w:t>
            </w:r>
          </w:p>
          <w:p w14:paraId="4378488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u w:val="single"/>
                <w:lang w:eastAsia="en-US"/>
              </w:rPr>
            </w:pPr>
            <w:r w:rsidRPr="008A6A6E">
              <w:rPr>
                <w:rFonts w:eastAsia="Times New Roman" w:cs="Times New Roman"/>
                <w:kern w:val="0"/>
                <w:szCs w:val="24"/>
                <w:lang w:eastAsia="en-US"/>
              </w:rPr>
              <w:t xml:space="preserve">USE3. The use of [employee monitoring type] makes it easier to do my job. </w:t>
            </w:r>
          </w:p>
          <w:p w14:paraId="7882A1ED" w14:textId="094C1673"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u w:val="single"/>
                <w:lang w:eastAsia="en-US"/>
              </w:rPr>
            </w:pPr>
            <w:r w:rsidRPr="008A6A6E">
              <w:rPr>
                <w:rFonts w:eastAsia="Times New Roman" w:cs="Times New Roman"/>
                <w:kern w:val="0"/>
                <w:szCs w:val="24"/>
                <w:lang w:eastAsia="en-US"/>
              </w:rPr>
              <w:t>USE4</w:t>
            </w:r>
            <w:r w:rsidR="00C2409A">
              <w:rPr>
                <w:rFonts w:eastAsia="Times New Roman" w:cs="Times New Roman"/>
                <w:kern w:val="0"/>
                <w:szCs w:val="24"/>
                <w:lang w:eastAsia="en-US"/>
              </w:rPr>
              <w:t>.</w:t>
            </w:r>
            <w:r w:rsidRPr="008A6A6E">
              <w:rPr>
                <w:rFonts w:eastAsia="Times New Roman" w:cs="Times New Roman"/>
                <w:kern w:val="0"/>
                <w:szCs w:val="24"/>
                <w:lang w:eastAsia="en-US"/>
              </w:rPr>
              <w:t xml:space="preserve"> The use of [employee monitoring type] enhances my effectiveness in my job.</w:t>
            </w:r>
          </w:p>
        </w:tc>
      </w:tr>
      <w:tr w:rsidR="003E5B95" w:rsidRPr="008A6A6E" w14:paraId="243DE8F5"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5EA0CE93"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Independent variable </w:t>
            </w:r>
          </w:p>
        </w:tc>
        <w:tc>
          <w:tcPr>
            <w:tcW w:w="2070" w:type="dxa"/>
            <w:tcBorders>
              <w:left w:val="single" w:sz="4" w:space="0" w:color="auto"/>
            </w:tcBorders>
          </w:tcPr>
          <w:p w14:paraId="5A21D86F"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Complexity</w:t>
            </w:r>
          </w:p>
          <w:p w14:paraId="5F78FDE7"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w:t>
            </w:r>
            <w:r w:rsidRPr="008A6A6E">
              <w:rPr>
                <w:rFonts w:eastAsia="Times New Roman" w:cs="Times New Roman"/>
                <w:noProof/>
                <w:color w:val="000000"/>
                <w:kern w:val="0"/>
                <w:szCs w:val="24"/>
                <w:lang w:eastAsia="en-US"/>
              </w:rPr>
              <w:t>Ayyagari et al. (2011)</w:t>
            </w:r>
          </w:p>
        </w:tc>
        <w:tc>
          <w:tcPr>
            <w:tcW w:w="9270" w:type="dxa"/>
          </w:tcPr>
          <w:p w14:paraId="3FB1701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xml:space="preserve">COMPEX1. Learning to implement [employee monitoring type] is easy for me. </w:t>
            </w:r>
          </w:p>
          <w:p w14:paraId="152709A4"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u w:val="single"/>
                <w:lang w:eastAsia="en-US"/>
              </w:rPr>
            </w:pPr>
            <w:r w:rsidRPr="008A6A6E">
              <w:rPr>
                <w:rFonts w:eastAsia="Times New Roman" w:cs="Times New Roman"/>
                <w:kern w:val="0"/>
                <w:szCs w:val="24"/>
                <w:lang w:eastAsia="en-US"/>
              </w:rPr>
              <w:t>COMPLEX2. [employee monitoring type] is easy to implement.</w:t>
            </w:r>
          </w:p>
          <w:p w14:paraId="15A98AC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COMPLEX3. It is easy to get the results from [employee monitoring type] that I desire</w:t>
            </w:r>
          </w:p>
        </w:tc>
      </w:tr>
      <w:tr w:rsidR="003E5B95" w:rsidRPr="008A6A6E" w14:paraId="079056BF"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761ED1B9"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Independent variable </w:t>
            </w:r>
          </w:p>
        </w:tc>
        <w:tc>
          <w:tcPr>
            <w:tcW w:w="2070" w:type="dxa"/>
            <w:tcBorders>
              <w:left w:val="single" w:sz="4" w:space="0" w:color="auto"/>
            </w:tcBorders>
          </w:tcPr>
          <w:p w14:paraId="1760946E"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Interoperability</w:t>
            </w:r>
          </w:p>
          <w:p w14:paraId="6F2AFAE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w:t>
            </w:r>
            <w:r w:rsidRPr="008A6A6E">
              <w:rPr>
                <w:rFonts w:eastAsia="Times New Roman" w:cs="Times New Roman"/>
                <w:bCs/>
                <w:color w:val="000000"/>
                <w:kern w:val="0"/>
                <w:szCs w:val="24"/>
                <w:lang w:eastAsia="en-US"/>
              </w:rPr>
              <w:t>Zhao and Xia (2014)</w:t>
            </w:r>
          </w:p>
        </w:tc>
        <w:tc>
          <w:tcPr>
            <w:tcW w:w="9270" w:type="dxa"/>
          </w:tcPr>
          <w:p w14:paraId="5EE9546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INTEROP1. [employee monitoring technology] can easily transmit and process data from multiple systems.</w:t>
            </w:r>
          </w:p>
          <w:p w14:paraId="3858BD07"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INTEROP2. [employee monitoring technology] can easily integrate with multiple systems from different vendors.  </w:t>
            </w:r>
          </w:p>
          <w:p w14:paraId="3F5890CE"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INTEROP3. [employee monitoring technology] can easily work with another employee monitoring technology based on standardized data and processes. </w:t>
            </w:r>
          </w:p>
          <w:p w14:paraId="43B811D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INTEROP4. [employee monitoring technology] has no technical issues when it’s being integrated with other legacy/proprietary systems.</w:t>
            </w:r>
          </w:p>
        </w:tc>
      </w:tr>
      <w:tr w:rsidR="003E5B95" w:rsidRPr="008A6A6E" w14:paraId="5F84B48F"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475C8C5E"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Independent variable </w:t>
            </w:r>
          </w:p>
        </w:tc>
        <w:tc>
          <w:tcPr>
            <w:tcW w:w="2070" w:type="dxa"/>
            <w:tcBorders>
              <w:left w:val="single" w:sz="4" w:space="0" w:color="auto"/>
            </w:tcBorders>
          </w:tcPr>
          <w:p w14:paraId="4481C7B7"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False Positive</w:t>
            </w:r>
          </w:p>
          <w:p w14:paraId="41D7A1F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Self-developed</w:t>
            </w:r>
          </w:p>
        </w:tc>
        <w:tc>
          <w:tcPr>
            <w:tcW w:w="9270" w:type="dxa"/>
          </w:tcPr>
          <w:p w14:paraId="086CEBC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u w:val="single"/>
                <w:lang w:eastAsia="en-US"/>
              </w:rPr>
            </w:pPr>
            <w:r w:rsidRPr="008A6A6E">
              <w:rPr>
                <w:rFonts w:eastAsia="Times New Roman" w:cs="Times New Roman"/>
                <w:color w:val="000000"/>
                <w:kern w:val="0"/>
                <w:szCs w:val="24"/>
                <w:lang w:eastAsia="en-US"/>
              </w:rPr>
              <w:t xml:space="preserve">FalsePos1. [employee monitoring type] sometimes gives warnings </w:t>
            </w:r>
            <w:r w:rsidRPr="008A6A6E">
              <w:rPr>
                <w:rFonts w:eastAsia="Times New Roman" w:cs="Times New Roman"/>
                <w:color w:val="000000"/>
                <w:kern w:val="0"/>
                <w:szCs w:val="24"/>
                <w:shd w:val="clear" w:color="auto" w:fill="FFFFFF"/>
                <w:lang w:eastAsia="en-US"/>
              </w:rPr>
              <w:t>when no intrusion exists.</w:t>
            </w:r>
          </w:p>
          <w:p w14:paraId="559D03FC"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u w:val="single"/>
                <w:lang w:eastAsia="en-US"/>
              </w:rPr>
            </w:pPr>
            <w:r w:rsidRPr="008A6A6E">
              <w:rPr>
                <w:rFonts w:eastAsia="Times New Roman" w:cs="Times New Roman"/>
                <w:color w:val="000000"/>
                <w:kern w:val="0"/>
                <w:szCs w:val="24"/>
                <w:lang w:eastAsia="en-US"/>
              </w:rPr>
              <w:t xml:space="preserve">FalsePos2. [employee monitoring type] sometimes alerts me to intrusions that didn’t happen. </w:t>
            </w:r>
          </w:p>
          <w:p w14:paraId="03AEAF38"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u w:val="single"/>
                <w:lang w:eastAsia="en-US"/>
              </w:rPr>
            </w:pPr>
            <w:r w:rsidRPr="008A6A6E">
              <w:rPr>
                <w:rFonts w:eastAsia="Times New Roman" w:cs="Times New Roman"/>
                <w:color w:val="000000"/>
                <w:kern w:val="0"/>
                <w:szCs w:val="24"/>
                <w:lang w:eastAsia="en-US"/>
              </w:rPr>
              <w:t xml:space="preserve">FalsePos3. My experience with [employee monitoring type] is that it sometimes gives warnings where there were no intrusions present. </w:t>
            </w:r>
          </w:p>
        </w:tc>
      </w:tr>
      <w:tr w:rsidR="003E5B95" w:rsidRPr="008A6A6E" w14:paraId="421ABDA9"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010FBB27"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 xml:space="preserve">Independent variable </w:t>
            </w:r>
          </w:p>
        </w:tc>
        <w:tc>
          <w:tcPr>
            <w:tcW w:w="2070" w:type="dxa"/>
            <w:tcBorders>
              <w:left w:val="single" w:sz="4" w:space="0" w:color="auto"/>
            </w:tcBorders>
          </w:tcPr>
          <w:p w14:paraId="538B7B8B"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False Positive</w:t>
            </w:r>
          </w:p>
          <w:p w14:paraId="290F5C10"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Self-developed</w:t>
            </w:r>
          </w:p>
        </w:tc>
        <w:tc>
          <w:tcPr>
            <w:tcW w:w="9270" w:type="dxa"/>
          </w:tcPr>
          <w:p w14:paraId="4D4BAB93"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FalseNeg1. [employee monitoring type] doesn’t always alert me to intrusions that have occurred.</w:t>
            </w:r>
          </w:p>
          <w:p w14:paraId="6B021778"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FalseNeg2. [employee monitoring type] doesn’t always warn me of intrusions that have happened. </w:t>
            </w:r>
          </w:p>
          <w:p w14:paraId="4A4B341B"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Falseneg3. My experience with [employee monitoring type] is that it sometimes fails to give me warnings where there were intrusions present. </w:t>
            </w:r>
          </w:p>
        </w:tc>
      </w:tr>
      <w:tr w:rsidR="003E5B95" w:rsidRPr="008A6A6E" w14:paraId="175C8C04"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16EACBAC"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lastRenderedPageBreak/>
              <w:t xml:space="preserve">Independent variable </w:t>
            </w:r>
          </w:p>
        </w:tc>
        <w:tc>
          <w:tcPr>
            <w:tcW w:w="2070" w:type="dxa"/>
            <w:tcBorders>
              <w:left w:val="single" w:sz="4" w:space="0" w:color="auto"/>
            </w:tcBorders>
          </w:tcPr>
          <w:p w14:paraId="48943FB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Security Climate</w:t>
            </w:r>
          </w:p>
          <w:p w14:paraId="7A5CBB6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w:t>
            </w:r>
            <w:r w:rsidRPr="008A6A6E">
              <w:rPr>
                <w:rFonts w:eastAsia="Times New Roman" w:cs="Times New Roman"/>
                <w:noProof/>
                <w:color w:val="000000"/>
                <w:kern w:val="0"/>
                <w:szCs w:val="24"/>
                <w:lang w:eastAsia="en-US"/>
              </w:rPr>
              <w:t>Chen et al. (2015)</w:t>
            </w:r>
          </w:p>
        </w:tc>
        <w:tc>
          <w:tcPr>
            <w:tcW w:w="9270" w:type="dxa"/>
          </w:tcPr>
          <w:p w14:paraId="528E1E2E" w14:textId="784FDB40"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SECCLI1: In my organization</w:t>
            </w:r>
            <w:r w:rsidR="00E91110">
              <w:rPr>
                <w:rFonts w:cs="Times New Roman"/>
                <w:kern w:val="0"/>
                <w:szCs w:val="24"/>
                <w:lang w:eastAsia="en-US"/>
              </w:rPr>
              <w:t>,</w:t>
            </w:r>
            <w:r w:rsidRPr="008A6A6E">
              <w:rPr>
                <w:rFonts w:cs="Times New Roman"/>
                <w:kern w:val="0"/>
                <w:szCs w:val="24"/>
                <w:lang w:eastAsia="en-US"/>
              </w:rPr>
              <w:t xml:space="preserve"> employees value the importance of the security of information and computer systems.</w:t>
            </w:r>
          </w:p>
          <w:p w14:paraId="3128BABB"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SECCLI2: In my organization, a culture exists that promotes good security and privacy practices.</w:t>
            </w:r>
          </w:p>
          <w:p w14:paraId="0290609E"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SECCLI3: In my organization, security (of information and systems) has traditionally been considered an important organizational value.</w:t>
            </w:r>
          </w:p>
          <w:p w14:paraId="77D74837" w14:textId="2A9B1538"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SECCLI4: In my organization</w:t>
            </w:r>
            <w:r w:rsidR="00E91110">
              <w:rPr>
                <w:rFonts w:cs="Times New Roman"/>
                <w:kern w:val="0"/>
                <w:szCs w:val="24"/>
                <w:lang w:eastAsia="en-US"/>
              </w:rPr>
              <w:t>,</w:t>
            </w:r>
            <w:r w:rsidRPr="008A6A6E">
              <w:rPr>
                <w:rFonts w:cs="Times New Roman"/>
                <w:kern w:val="0"/>
                <w:szCs w:val="24"/>
                <w:lang w:eastAsia="en-US"/>
              </w:rPr>
              <w:t xml:space="preserve"> practicing good security of information and systems is the accepted way of doing business in my organization.</w:t>
            </w:r>
          </w:p>
          <w:p w14:paraId="18FA5661"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SECCLI5: In my organization, the overall environment in my organization fosters security-minded thinking in all our actions.</w:t>
            </w:r>
          </w:p>
          <w:p w14:paraId="56D07D1C" w14:textId="1A89DFA3"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SECCLI6: In my organization</w:t>
            </w:r>
            <w:r w:rsidR="00E91110">
              <w:rPr>
                <w:rFonts w:cs="Times New Roman"/>
                <w:kern w:val="0"/>
                <w:szCs w:val="24"/>
                <w:lang w:eastAsia="en-US"/>
              </w:rPr>
              <w:t>,</w:t>
            </w:r>
            <w:r w:rsidRPr="008A6A6E">
              <w:rPr>
                <w:rFonts w:cs="Times New Roman"/>
                <w:kern w:val="0"/>
                <w:szCs w:val="24"/>
                <w:lang w:eastAsia="en-US"/>
              </w:rPr>
              <w:t xml:space="preserve"> information and systems security is a key norm shared by all organizational members/employees.</w:t>
            </w:r>
          </w:p>
        </w:tc>
      </w:tr>
      <w:tr w:rsidR="003E5B95" w:rsidRPr="008A6A6E" w14:paraId="42A6516E"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54743E0F"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Attention check</w:t>
            </w:r>
          </w:p>
        </w:tc>
        <w:tc>
          <w:tcPr>
            <w:tcW w:w="2070" w:type="dxa"/>
            <w:tcBorders>
              <w:left w:val="single" w:sz="4" w:space="0" w:color="auto"/>
            </w:tcBorders>
          </w:tcPr>
          <w:p w14:paraId="0A7D9FAB"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9270" w:type="dxa"/>
          </w:tcPr>
          <w:p w14:paraId="10630AE9"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Now consider your current implementation of [employee monitoring type] and select neither agree nor disagree.</w:t>
            </w:r>
          </w:p>
        </w:tc>
      </w:tr>
      <w:tr w:rsidR="003E5B95" w:rsidRPr="008A6A6E" w14:paraId="599DF948"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018EB910"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w:t>
            </w:r>
          </w:p>
        </w:tc>
        <w:tc>
          <w:tcPr>
            <w:tcW w:w="2070" w:type="dxa"/>
            <w:tcBorders>
              <w:left w:val="single" w:sz="4" w:space="0" w:color="auto"/>
            </w:tcBorders>
          </w:tcPr>
          <w:p w14:paraId="5B5E54F5"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Relevance**</w:t>
            </w:r>
          </w:p>
        </w:tc>
        <w:tc>
          <w:tcPr>
            <w:tcW w:w="9270" w:type="dxa"/>
          </w:tcPr>
          <w:p w14:paraId="4CEE130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REL1*. I feel that the implementation of [employee monitoring type] has important consequences for my job. </w:t>
            </w:r>
          </w:p>
          <w:p w14:paraId="645D82B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REL2. I feel that I am affected by the implementation of [employee monitoring type].</w:t>
            </w:r>
          </w:p>
          <w:p w14:paraId="726C414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REL3. I feel that there are serious implications for my job from the implementation of [employee monitoring type].</w:t>
            </w:r>
          </w:p>
          <w:p w14:paraId="3E12283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REL4. I feel that there are long-term consequences to my job from the implementation of [employee monitoring type].</w:t>
            </w:r>
          </w:p>
        </w:tc>
      </w:tr>
      <w:tr w:rsidR="003E5B95" w:rsidRPr="008A6A6E" w14:paraId="684F4240"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1C71328C"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w:t>
            </w:r>
          </w:p>
        </w:tc>
        <w:tc>
          <w:tcPr>
            <w:tcW w:w="2070" w:type="dxa"/>
            <w:tcBorders>
              <w:left w:val="single" w:sz="4" w:space="0" w:color="auto"/>
            </w:tcBorders>
          </w:tcPr>
          <w:p w14:paraId="3DACF435"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Challenge Stress</w:t>
            </w:r>
          </w:p>
          <w:p w14:paraId="2F217CCE"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Items adapted from Peacock and Wong (1990)</w:t>
            </w:r>
          </w:p>
        </w:tc>
        <w:tc>
          <w:tcPr>
            <w:tcW w:w="9270" w:type="dxa"/>
          </w:tcPr>
          <w:p w14:paraId="32BDC5B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CHSTRS1. I feel that the implementation of [employee monitoring type] has a positive impact. </w:t>
            </w:r>
          </w:p>
          <w:p w14:paraId="355730B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CHSTRS2. I feel eager to tackle the implementation of [employee monitoring type].</w:t>
            </w:r>
          </w:p>
          <w:p w14:paraId="6CF47C2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CHSTRS3. I feel as I encounter the implementation of [employee monitoring type], I become (professionally) stronger.</w:t>
            </w:r>
          </w:p>
          <w:p w14:paraId="7A4C9DD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CHSTRS4. I feel excited about the outcomes of the implementation of [employee monitoring type].</w:t>
            </w:r>
          </w:p>
        </w:tc>
      </w:tr>
      <w:tr w:rsidR="003E5B95" w:rsidRPr="008A6A6E" w14:paraId="63866B97"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43AD7DAC"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w:t>
            </w:r>
          </w:p>
        </w:tc>
        <w:tc>
          <w:tcPr>
            <w:tcW w:w="2070" w:type="dxa"/>
            <w:tcBorders>
              <w:left w:val="single" w:sz="4" w:space="0" w:color="auto"/>
            </w:tcBorders>
          </w:tcPr>
          <w:p w14:paraId="71BB02F4"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Hindrance Stress</w:t>
            </w:r>
          </w:p>
          <w:p w14:paraId="2E6D31D1"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Peacock and </w:t>
            </w:r>
            <w:r w:rsidRPr="008A6A6E">
              <w:rPr>
                <w:rFonts w:eastAsia="Times New Roman" w:cs="Times New Roman"/>
                <w:color w:val="000000"/>
                <w:kern w:val="0"/>
                <w:szCs w:val="24"/>
                <w:lang w:eastAsia="en-US"/>
              </w:rPr>
              <w:lastRenderedPageBreak/>
              <w:t>Wong (1990)</w:t>
            </w:r>
          </w:p>
        </w:tc>
        <w:tc>
          <w:tcPr>
            <w:tcW w:w="9270" w:type="dxa"/>
          </w:tcPr>
          <w:p w14:paraId="2E1CFD69" w14:textId="77777777" w:rsidR="003E5B95" w:rsidRPr="008A6A6E" w:rsidRDefault="003E5B95" w:rsidP="003E5B95">
            <w:pPr>
              <w:keepNext/>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HINSTRS1. I feel that the implementation of [employee monitoring type] is a hindrance to my job.</w:t>
            </w:r>
          </w:p>
          <w:p w14:paraId="293280D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HINSTRS2*. I feel anxious about the implementation of [employee monitoring type].</w:t>
            </w:r>
          </w:p>
          <w:p w14:paraId="118637F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HINSTRS3. I feel the outcomes associated with [employee monitoring type] are negative.</w:t>
            </w:r>
          </w:p>
          <w:p w14:paraId="651EA3F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HINSTRS4. I feel that the implementation of [employee monitoring type] causes a negative impact on me.</w:t>
            </w:r>
          </w:p>
        </w:tc>
      </w:tr>
      <w:tr w:rsidR="003E5B95" w:rsidRPr="008A6A6E" w14:paraId="34D63812"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36DA66A8"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lastRenderedPageBreak/>
              <w:t>Construct</w:t>
            </w:r>
          </w:p>
        </w:tc>
        <w:tc>
          <w:tcPr>
            <w:tcW w:w="2070" w:type="dxa"/>
            <w:tcBorders>
              <w:left w:val="single" w:sz="4" w:space="0" w:color="auto"/>
            </w:tcBorders>
          </w:tcPr>
          <w:p w14:paraId="73A11CF6"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Control</w:t>
            </w:r>
          </w:p>
          <w:p w14:paraId="06E0F2B8"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Items adapted from Peacock and Wong (1990)</w:t>
            </w:r>
          </w:p>
          <w:p w14:paraId="7ECC3F4D"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p>
        </w:tc>
        <w:tc>
          <w:tcPr>
            <w:tcW w:w="9270" w:type="dxa"/>
          </w:tcPr>
          <w:p w14:paraId="7CA57198"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Control-by-self</w:t>
            </w:r>
          </w:p>
          <w:p w14:paraId="7203C18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CTRL1*. I </w:t>
            </w:r>
            <w:proofErr w:type="gramStart"/>
            <w:r w:rsidRPr="008A6A6E">
              <w:rPr>
                <w:rFonts w:cs="Times New Roman"/>
                <w:kern w:val="0"/>
                <w:szCs w:val="24"/>
                <w:lang w:eastAsia="en-US"/>
              </w:rPr>
              <w:t>have the ability to</w:t>
            </w:r>
            <w:proofErr w:type="gramEnd"/>
            <w:r w:rsidRPr="008A6A6E">
              <w:rPr>
                <w:rFonts w:cs="Times New Roman"/>
                <w:kern w:val="0"/>
                <w:szCs w:val="24"/>
                <w:lang w:eastAsia="en-US"/>
              </w:rPr>
              <w:t xml:space="preserve"> do well with the implementation of [employee monitoring type].</w:t>
            </w:r>
          </w:p>
          <w:p w14:paraId="1524A59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CTRL2. I have what it takes to implement [employee monitoring type].</w:t>
            </w:r>
          </w:p>
          <w:p w14:paraId="39F0B52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CTRL3. I </w:t>
            </w:r>
            <w:proofErr w:type="gramStart"/>
            <w:r w:rsidRPr="008A6A6E">
              <w:rPr>
                <w:rFonts w:cs="Times New Roman"/>
                <w:kern w:val="0"/>
                <w:szCs w:val="24"/>
                <w:lang w:eastAsia="en-US"/>
              </w:rPr>
              <w:t>have the ability to</w:t>
            </w:r>
            <w:proofErr w:type="gramEnd"/>
            <w:r w:rsidRPr="008A6A6E">
              <w:rPr>
                <w:rFonts w:cs="Times New Roman"/>
                <w:kern w:val="0"/>
                <w:szCs w:val="24"/>
                <w:lang w:eastAsia="en-US"/>
              </w:rPr>
              <w:t xml:space="preserve"> overcome problems as they arise from [employee monitoring type].</w:t>
            </w:r>
          </w:p>
          <w:p w14:paraId="6263185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CTRL4. I have the necessary skills to implement [employee monitoring type].</w:t>
            </w:r>
          </w:p>
          <w:p w14:paraId="0EAAE7FB"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Control-by-others</w:t>
            </w:r>
          </w:p>
          <w:p w14:paraId="4D92382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CTRL5*. I have someone I can turn to when implementing [employee monitoring type]. </w:t>
            </w:r>
          </w:p>
          <w:p w14:paraId="7D807A2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CTRL6. I have help available to implement [employee monitoring type].</w:t>
            </w:r>
          </w:p>
          <w:p w14:paraId="44DAB8B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CTRL7. I have resources available to implement [employee monitoring type]. </w:t>
            </w:r>
          </w:p>
          <w:p w14:paraId="15ECB48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
                <w:iCs/>
                <w:kern w:val="0"/>
                <w:szCs w:val="24"/>
                <w:lang w:eastAsia="en-US"/>
              </w:rPr>
            </w:pPr>
            <w:r w:rsidRPr="008A6A6E">
              <w:rPr>
                <w:rFonts w:cs="Times New Roman"/>
                <w:kern w:val="0"/>
                <w:szCs w:val="24"/>
                <w:lang w:eastAsia="en-US"/>
              </w:rPr>
              <w:t xml:space="preserve">CTRL8. </w:t>
            </w:r>
            <w:r w:rsidRPr="008A6A6E">
              <w:rPr>
                <w:rFonts w:cs="Times New Roman"/>
                <w:iCs/>
                <w:kern w:val="0"/>
                <w:szCs w:val="24"/>
                <w:lang w:eastAsia="en-US"/>
              </w:rPr>
              <w:t xml:space="preserve">I have access to someone who can help me with implementing </w:t>
            </w:r>
            <w:r w:rsidRPr="008A6A6E">
              <w:rPr>
                <w:rFonts w:cs="Times New Roman"/>
                <w:kern w:val="0"/>
                <w:szCs w:val="24"/>
                <w:lang w:eastAsia="en-US"/>
              </w:rPr>
              <w:t>[employee monitoring type].</w:t>
            </w:r>
          </w:p>
        </w:tc>
      </w:tr>
      <w:tr w:rsidR="003E5B95" w:rsidRPr="008A6A6E" w14:paraId="56BF53E9" w14:textId="77777777" w:rsidTr="003E5B95">
        <w:trPr>
          <w:cnfStyle w:val="000000100000" w:firstRow="0" w:lastRow="0" w:firstColumn="0" w:lastColumn="0" w:oddVBand="0" w:evenVBand="0" w:oddHBand="1" w:evenHBand="0" w:firstRowFirstColumn="0" w:firstRowLastColumn="0" w:lastRowFirstColumn="0" w:lastRowLastColumn="0"/>
          <w:trHeight w:val="576"/>
        </w:trPr>
        <w:tc>
          <w:tcPr>
            <w:cnfStyle w:val="001000000000" w:firstRow="0" w:lastRow="0" w:firstColumn="1" w:lastColumn="0" w:oddVBand="0" w:evenVBand="0" w:oddHBand="0" w:evenHBand="0" w:firstRowFirstColumn="0" w:firstRowLastColumn="0" w:lastRowFirstColumn="0" w:lastRowLastColumn="0"/>
            <w:tcW w:w="1435" w:type="dxa"/>
            <w:tcBorders>
              <w:right w:val="single" w:sz="4" w:space="0" w:color="auto"/>
            </w:tcBorders>
          </w:tcPr>
          <w:p w14:paraId="1931D7A5"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Construct</w:t>
            </w:r>
          </w:p>
        </w:tc>
        <w:tc>
          <w:tcPr>
            <w:tcW w:w="2070" w:type="dxa"/>
            <w:tcBorders>
              <w:left w:val="single" w:sz="4" w:space="0" w:color="auto"/>
            </w:tcBorders>
          </w:tcPr>
          <w:p w14:paraId="282A84E6"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Savoring </w:t>
            </w:r>
          </w:p>
          <w:p w14:paraId="023928A0"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Items adapted from Fadel (2012)</w:t>
            </w:r>
          </w:p>
        </w:tc>
        <w:tc>
          <w:tcPr>
            <w:tcW w:w="9270" w:type="dxa"/>
          </w:tcPr>
          <w:p w14:paraId="65D8370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Self-adaptation</w:t>
            </w:r>
          </w:p>
          <w:p w14:paraId="32C3C42A"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SELF1. I communicate with my colleagues to better understand how [employee monitoring type] is implemented.</w:t>
            </w:r>
          </w:p>
          <w:p w14:paraId="1B4947B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SELF2. I communicate with IT specialists to better understand how [employee monitoring type] is implemented.</w:t>
            </w:r>
          </w:p>
          <w:p w14:paraId="655103C1" w14:textId="36551EF9"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SELF3*. I research my initiatives </w:t>
            </w:r>
            <w:proofErr w:type="gramStart"/>
            <w:r w:rsidRPr="008A6A6E">
              <w:rPr>
                <w:rFonts w:cs="Times New Roman"/>
                <w:kern w:val="0"/>
                <w:szCs w:val="24"/>
                <w:lang w:eastAsia="en-US"/>
              </w:rPr>
              <w:t>in order to</w:t>
            </w:r>
            <w:proofErr w:type="gramEnd"/>
            <w:r w:rsidRPr="008A6A6E">
              <w:rPr>
                <w:rFonts w:cs="Times New Roman"/>
                <w:kern w:val="0"/>
                <w:szCs w:val="24"/>
                <w:lang w:eastAsia="en-US"/>
              </w:rPr>
              <w:t xml:space="preserve"> increase my knowledge and mastery of [employee monitoring type].</w:t>
            </w:r>
          </w:p>
          <w:p w14:paraId="7009FFD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SELF4. I consult with the in-house [employee monitoring type] support documentation that was available to me.</w:t>
            </w:r>
          </w:p>
          <w:p w14:paraId="4AA9D20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SELF5*. I attend training related to [employee monitoring type].</w:t>
            </w:r>
          </w:p>
          <w:p w14:paraId="6FEBED80"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 xml:space="preserve">SELF6. I consult with [employee monitoring type] supervisor in my department. </w:t>
            </w:r>
          </w:p>
          <w:p w14:paraId="49032AD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Work adaptation</w:t>
            </w:r>
          </w:p>
          <w:p w14:paraId="198FE80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WORK1. I do things related to [employee monitoring type] in my job that I could not do before.</w:t>
            </w:r>
          </w:p>
          <w:p w14:paraId="40C43D0A" w14:textId="50D4796F"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lastRenderedPageBreak/>
              <w:t>WORK2. I eliminate tasks that I had to do before</w:t>
            </w:r>
            <w:r w:rsidR="00E91110">
              <w:rPr>
                <w:rFonts w:cs="Times New Roman"/>
                <w:kern w:val="0"/>
                <w:szCs w:val="24"/>
                <w:lang w:eastAsia="en-US"/>
              </w:rPr>
              <w:t xml:space="preserve">, </w:t>
            </w:r>
            <w:r w:rsidRPr="008A6A6E">
              <w:rPr>
                <w:rFonts w:cs="Times New Roman"/>
                <w:kern w:val="0"/>
                <w:szCs w:val="24"/>
                <w:lang w:eastAsia="en-US"/>
              </w:rPr>
              <w:t>but that would be no longer required because of [employee monitoring type].</w:t>
            </w:r>
          </w:p>
          <w:p w14:paraId="436677D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WORK3. [employee monitoring type] has changed my way of performing some tasks.</w:t>
            </w:r>
          </w:p>
          <w:p w14:paraId="4D0FFFFE" w14:textId="77777777" w:rsidR="003E5B95" w:rsidRPr="008A6A6E" w:rsidRDefault="003E5B95" w:rsidP="003E5B95">
            <w:pPr>
              <w:widowControl w:val="0"/>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Technology adaptation</w:t>
            </w:r>
          </w:p>
          <w:p w14:paraId="79DC966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TECH1. I spend time and energy making or recommending improvements to [employee monitoring type] [the way technology work].</w:t>
            </w:r>
          </w:p>
          <w:p w14:paraId="1E82D32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TECH2. I spend time and energy making or recommending improvements to the [employee monitoring type] [the look and feel of the technology].</w:t>
            </w:r>
          </w:p>
          <w:p w14:paraId="1BEC0C3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TECH3. I spend time and energy making or recommending other modifications to [employee monitoring type] so that they better fit my job.</w:t>
            </w:r>
          </w:p>
          <w:p w14:paraId="499E3E0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8A6A6E">
              <w:rPr>
                <w:rFonts w:cs="Times New Roman"/>
                <w:kern w:val="0"/>
                <w:szCs w:val="24"/>
                <w:lang w:eastAsia="en-US"/>
              </w:rPr>
              <w:t>TECH4. I spend time and energy making or recommending other modifications to [employee monitoring type] so that it better fits my job [the actual computer equipment you use].</w:t>
            </w:r>
          </w:p>
        </w:tc>
      </w:tr>
      <w:tr w:rsidR="003E5B95" w:rsidRPr="008A6A6E" w14:paraId="445DA080" w14:textId="77777777" w:rsidTr="003E5B95">
        <w:trPr>
          <w:trHeight w:val="576"/>
        </w:trPr>
        <w:tc>
          <w:tcPr>
            <w:cnfStyle w:val="001000000000" w:firstRow="0" w:lastRow="0" w:firstColumn="1" w:lastColumn="0" w:oddVBand="0" w:evenVBand="0" w:oddHBand="0" w:evenHBand="0" w:firstRowFirstColumn="0" w:firstRowLastColumn="0" w:lastRowFirstColumn="0" w:lastRowLastColumn="0"/>
            <w:tcW w:w="1435" w:type="dxa"/>
            <w:tcBorders>
              <w:bottom w:val="single" w:sz="4" w:space="0" w:color="auto"/>
              <w:right w:val="single" w:sz="4" w:space="0" w:color="auto"/>
            </w:tcBorders>
          </w:tcPr>
          <w:p w14:paraId="0502EDA9" w14:textId="77777777" w:rsidR="003E5B95" w:rsidRPr="008A6A6E" w:rsidRDefault="003E5B95" w:rsidP="003E5B95">
            <w:pPr>
              <w:widowControl w:val="0"/>
              <w:spacing w:line="240" w:lineRule="auto"/>
              <w:ind w:firstLine="0"/>
              <w:contextualSpacing w:val="0"/>
              <w:rPr>
                <w:rFonts w:eastAsia="Times New Roman" w:cs="Times New Roman"/>
                <w:b w:val="0"/>
                <w:bCs w:val="0"/>
                <w:color w:val="000000"/>
                <w:kern w:val="0"/>
                <w:szCs w:val="24"/>
                <w:lang w:eastAsia="en-US"/>
              </w:rPr>
            </w:pPr>
          </w:p>
        </w:tc>
        <w:tc>
          <w:tcPr>
            <w:tcW w:w="2070" w:type="dxa"/>
            <w:tcBorders>
              <w:left w:val="single" w:sz="4" w:space="0" w:color="auto"/>
              <w:bottom w:val="single" w:sz="4" w:space="0" w:color="auto"/>
            </w:tcBorders>
          </w:tcPr>
          <w:p w14:paraId="5C6421F8"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Coping</w:t>
            </w:r>
          </w:p>
          <w:p w14:paraId="0877FC11" w14:textId="77777777" w:rsidR="003E5B95" w:rsidRPr="008A6A6E" w:rsidRDefault="003E5B95" w:rsidP="003E5B95">
            <w:pPr>
              <w:widowControl w:val="0"/>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 xml:space="preserve">Items adapted from </w:t>
            </w:r>
            <w:r w:rsidRPr="008A6A6E">
              <w:rPr>
                <w:rFonts w:eastAsia="Times New Roman" w:cs="Times New Roman"/>
                <w:noProof/>
                <w:color w:val="000000"/>
                <w:kern w:val="0"/>
                <w:szCs w:val="24"/>
                <w:lang w:eastAsia="en-US"/>
              </w:rPr>
              <w:t>Liang et al. (2019)</w:t>
            </w:r>
          </w:p>
        </w:tc>
        <w:tc>
          <w:tcPr>
            <w:tcW w:w="9270" w:type="dxa"/>
            <w:tcBorders>
              <w:bottom w:val="single" w:sz="4" w:space="0" w:color="auto"/>
            </w:tcBorders>
          </w:tcPr>
          <w:p w14:paraId="7E0DCAE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Emotional Support Seeking</w:t>
            </w:r>
          </w:p>
          <w:p w14:paraId="722DD8A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ESS1. I talk to someone about how I feel about [employee monitoring type].</w:t>
            </w:r>
          </w:p>
          <w:p w14:paraId="63DC9B1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ESS2. I try to get emotional support from friends or relatives regarding [employee monitoring type]. </w:t>
            </w:r>
          </w:p>
          <w:p w14:paraId="21368BE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ESS3. I discuss my feelings about [employee monitoring type] with someone.</w:t>
            </w:r>
          </w:p>
          <w:p w14:paraId="44A2393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ESS4. I get sympathy and understanding from someone regarding [employee monitoring type].</w:t>
            </w:r>
          </w:p>
          <w:p w14:paraId="1E79EF70"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Emotional Venting</w:t>
            </w:r>
          </w:p>
          <w:p w14:paraId="46E36A3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VENT1*. I get upset about [employee monitoring type] and let my emotions out.</w:t>
            </w:r>
          </w:p>
          <w:p w14:paraId="1D6E813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VENT2. I let my feelings out about [employee monitoring type].</w:t>
            </w:r>
          </w:p>
          <w:p w14:paraId="33610962" w14:textId="7A95AB34"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VENT3. I feel a lot of emotional distress about [employee monitoring type]</w:t>
            </w:r>
            <w:r w:rsidR="00E91110">
              <w:rPr>
                <w:rFonts w:cs="Times New Roman"/>
                <w:iCs/>
                <w:kern w:val="0"/>
                <w:szCs w:val="24"/>
                <w:lang w:eastAsia="en-US"/>
              </w:rPr>
              <w:t xml:space="preserve">, </w:t>
            </w:r>
            <w:r w:rsidRPr="008A6A6E">
              <w:rPr>
                <w:rFonts w:cs="Times New Roman"/>
                <w:iCs/>
                <w:kern w:val="0"/>
                <w:szCs w:val="24"/>
                <w:lang w:eastAsia="en-US"/>
              </w:rPr>
              <w:t xml:space="preserve">and I found myself expressing those feelings a lot. </w:t>
            </w:r>
          </w:p>
          <w:p w14:paraId="2CB1B09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VENT4. I get upset about [employee monitoring type], and I am </w:t>
            </w:r>
            <w:proofErr w:type="gramStart"/>
            <w:r w:rsidRPr="008A6A6E">
              <w:rPr>
                <w:rFonts w:cs="Times New Roman"/>
                <w:iCs/>
                <w:kern w:val="0"/>
                <w:szCs w:val="24"/>
                <w:lang w:eastAsia="en-US"/>
              </w:rPr>
              <w:t>really aware</w:t>
            </w:r>
            <w:proofErr w:type="gramEnd"/>
            <w:r w:rsidRPr="008A6A6E">
              <w:rPr>
                <w:rFonts w:cs="Times New Roman"/>
                <w:iCs/>
                <w:kern w:val="0"/>
                <w:szCs w:val="24"/>
                <w:lang w:eastAsia="en-US"/>
              </w:rPr>
              <w:t xml:space="preserve"> of it.</w:t>
            </w:r>
          </w:p>
          <w:p w14:paraId="37D18A3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Denial </w:t>
            </w:r>
          </w:p>
          <w:p w14:paraId="7CAF701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DEN1. I refuse to believe that implementation of [employee monitoring type] could happen.</w:t>
            </w:r>
          </w:p>
          <w:p w14:paraId="716CDB1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DEN2. I persuade myself that implementation of [employee monitoring type] wouldn’t really happen.</w:t>
            </w:r>
          </w:p>
          <w:p w14:paraId="781E7B3D"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DEN3. I act as though implementation of [employee monitoring type] wouldn’t really happen.</w:t>
            </w:r>
          </w:p>
          <w:p w14:paraId="446ACAA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lastRenderedPageBreak/>
              <w:t>DEN4. I say to myself, “[employee monitoring type] isn’t real”.</w:t>
            </w:r>
          </w:p>
          <w:p w14:paraId="4FEDF78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Psychological Distancing </w:t>
            </w:r>
          </w:p>
          <w:p w14:paraId="773E0E7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PDIS1. I try not to get too serious about [employee monitoring type].</w:t>
            </w:r>
          </w:p>
          <w:p w14:paraId="22BD16C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PDIS2. I go on as if [employee monitoring type] has nothing to do with me.</w:t>
            </w:r>
          </w:p>
          <w:p w14:paraId="4B20021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PDIS3. I try not to think about [employee monitoring type] too much. </w:t>
            </w:r>
          </w:p>
          <w:p w14:paraId="25FD543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PDIS4*. I try to forget [employee monitoring type] as much as I can.</w:t>
            </w:r>
          </w:p>
          <w:p w14:paraId="0293D73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Wishful Thinking</w:t>
            </w:r>
          </w:p>
          <w:p w14:paraId="7CB3EC4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WISH1. I fantasize that [employee monitoring type] would go away or somehow be over with. </w:t>
            </w:r>
          </w:p>
          <w:p w14:paraId="1D7D8DA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WISH2. I fantasize that I would somehow come across a magical solution for [employee monitoring type].</w:t>
            </w:r>
          </w:p>
          <w:p w14:paraId="74B059A5"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r w:rsidRPr="008A6A6E">
              <w:rPr>
                <w:rFonts w:cs="Times New Roman"/>
                <w:iCs/>
                <w:kern w:val="0"/>
                <w:szCs w:val="24"/>
                <w:lang w:eastAsia="en-US"/>
              </w:rPr>
              <w:t xml:space="preserve">WISH3. I fantasize that </w:t>
            </w:r>
            <w:proofErr w:type="gramStart"/>
            <w:r w:rsidRPr="008A6A6E">
              <w:rPr>
                <w:rFonts w:cs="Times New Roman"/>
                <w:iCs/>
                <w:kern w:val="0"/>
                <w:szCs w:val="24"/>
                <w:lang w:eastAsia="en-US"/>
              </w:rPr>
              <w:t>all of a sudden</w:t>
            </w:r>
            <w:proofErr w:type="gramEnd"/>
            <w:r w:rsidRPr="008A6A6E">
              <w:rPr>
                <w:rFonts w:cs="Times New Roman"/>
                <w:iCs/>
                <w:kern w:val="0"/>
                <w:szCs w:val="24"/>
                <w:lang w:eastAsia="en-US"/>
              </w:rPr>
              <w:t xml:space="preserve"> [employee monitoring type] will disappear by itself. </w:t>
            </w:r>
          </w:p>
          <w:p w14:paraId="2C6BF33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cs="Times New Roman"/>
                <w:iCs/>
                <w:kern w:val="0"/>
                <w:szCs w:val="24"/>
                <w:lang w:eastAsia="en-US"/>
              </w:rPr>
            </w:pPr>
            <w:bookmarkStart w:id="308" w:name="_Hlk38388593"/>
            <w:r w:rsidRPr="008A6A6E">
              <w:rPr>
                <w:rFonts w:cs="Times New Roman"/>
                <w:iCs/>
                <w:kern w:val="0"/>
                <w:szCs w:val="24"/>
                <w:lang w:eastAsia="en-US"/>
              </w:rPr>
              <w:t>WISH4. I fantasize that everything turns out just fine as if [employee monitoring type] never happened.</w:t>
            </w:r>
            <w:bookmarkEnd w:id="308"/>
          </w:p>
        </w:tc>
      </w:tr>
    </w:tbl>
    <w:p w14:paraId="56E33873" w14:textId="77777777" w:rsidR="003E5B95" w:rsidRPr="008A6A6E" w:rsidRDefault="003E5B95" w:rsidP="003E5B95">
      <w:pPr>
        <w:spacing w:after="160" w:line="240" w:lineRule="auto"/>
        <w:ind w:firstLine="0"/>
        <w:contextualSpacing w:val="0"/>
        <w:rPr>
          <w:rFonts w:cs="Times New Roman"/>
          <w:color w:val="000000"/>
          <w:kern w:val="0"/>
          <w:szCs w:val="24"/>
          <w:lang w:eastAsia="en-US"/>
        </w:rPr>
        <w:sectPr w:rsidR="003E5B95" w:rsidRPr="008A6A6E" w:rsidSect="00DF56B1">
          <w:pgSz w:w="15840" w:h="12240" w:orient="landscape" w:code="1"/>
          <w:pgMar w:top="1440" w:right="1440" w:bottom="1440" w:left="1440" w:header="720" w:footer="720" w:gutter="0"/>
          <w:cols w:space="720"/>
          <w:docGrid w:linePitch="360"/>
        </w:sectPr>
      </w:pPr>
      <w:r w:rsidRPr="008A6A6E">
        <w:rPr>
          <w:rFonts w:cs="Times New Roman"/>
          <w:color w:val="000000"/>
          <w:kern w:val="0"/>
          <w:szCs w:val="24"/>
          <w:lang w:eastAsia="en-US"/>
        </w:rPr>
        <w:lastRenderedPageBreak/>
        <w:t>*Items were dropped in the validity testing</w:t>
      </w:r>
    </w:p>
    <w:p w14:paraId="65F96778" w14:textId="77777777" w:rsidR="003E5B95" w:rsidRPr="009A5CA0" w:rsidRDefault="003E5B95" w:rsidP="003E5B95">
      <w:pPr>
        <w:pStyle w:val="Heading1"/>
        <w:rPr>
          <w:b/>
          <w:bCs/>
        </w:rPr>
      </w:pPr>
      <w:bookmarkStart w:id="309" w:name="_Toc74087559"/>
      <w:bookmarkStart w:id="310" w:name="_Toc74258675"/>
      <w:bookmarkStart w:id="311" w:name="_Toc73955270"/>
      <w:bookmarkStart w:id="312" w:name="_Toc74074431"/>
      <w:r w:rsidRPr="009A5CA0">
        <w:rPr>
          <w:b/>
          <w:bCs/>
        </w:rPr>
        <w:lastRenderedPageBreak/>
        <w:t>APPENDIX J: QUANTITATIVE STUDY DEMOGRAPHICS</w:t>
      </w:r>
      <w:bookmarkEnd w:id="309"/>
      <w:bookmarkEnd w:id="310"/>
    </w:p>
    <w:p w14:paraId="2C0362AD" w14:textId="77777777" w:rsidR="003E5B95" w:rsidRPr="00127696" w:rsidRDefault="003E5B95" w:rsidP="008A6A6E">
      <w:pPr>
        <w:pStyle w:val="Caption"/>
        <w:keepNext/>
        <w:spacing w:line="480" w:lineRule="auto"/>
        <w:rPr>
          <w:sz w:val="24"/>
          <w:szCs w:val="24"/>
        </w:rPr>
      </w:pPr>
      <w:r w:rsidRPr="00127696">
        <w:rPr>
          <w:sz w:val="24"/>
          <w:szCs w:val="24"/>
        </w:rPr>
        <w:t xml:space="preserve">Table </w:t>
      </w:r>
      <w:r>
        <w:rPr>
          <w:sz w:val="24"/>
          <w:szCs w:val="24"/>
        </w:rPr>
        <w:t>J1</w:t>
      </w:r>
      <w:r w:rsidRPr="00127696">
        <w:rPr>
          <w:sz w:val="24"/>
          <w:szCs w:val="24"/>
        </w:rPr>
        <w:t xml:space="preserve"> </w:t>
      </w:r>
      <w:bookmarkStart w:id="313" w:name="_Toc73917990"/>
    </w:p>
    <w:p w14:paraId="18ED58E6" w14:textId="77777777" w:rsidR="003E5B95" w:rsidRPr="00127696" w:rsidRDefault="003E5B95" w:rsidP="008A6A6E">
      <w:pPr>
        <w:pStyle w:val="Caption"/>
        <w:keepNext/>
        <w:spacing w:line="480" w:lineRule="auto"/>
        <w:rPr>
          <w:b w:val="0"/>
          <w:bCs/>
          <w:i/>
          <w:iCs w:val="0"/>
          <w:sz w:val="24"/>
          <w:szCs w:val="24"/>
        </w:rPr>
      </w:pPr>
      <w:r w:rsidRPr="00127696">
        <w:rPr>
          <w:b w:val="0"/>
          <w:bCs/>
          <w:i/>
          <w:iCs w:val="0"/>
          <w:sz w:val="24"/>
          <w:szCs w:val="24"/>
        </w:rPr>
        <w:t>Participants' Characteristics in the Quantitative Study</w:t>
      </w:r>
      <w:bookmarkEnd w:id="311"/>
      <w:bookmarkEnd w:id="312"/>
      <w:bookmarkEnd w:id="313"/>
    </w:p>
    <w:tbl>
      <w:tblPr>
        <w:tblStyle w:val="PlainTable4"/>
        <w:tblW w:w="5000" w:type="pct"/>
        <w:tblLook w:val="04A0" w:firstRow="1" w:lastRow="0" w:firstColumn="1" w:lastColumn="0" w:noHBand="0" w:noVBand="1"/>
      </w:tblPr>
      <w:tblGrid>
        <w:gridCol w:w="4714"/>
        <w:gridCol w:w="2261"/>
        <w:gridCol w:w="2385"/>
      </w:tblGrid>
      <w:tr w:rsidR="003E5B95" w:rsidRPr="008A6A6E" w14:paraId="38AF9003" w14:textId="77777777" w:rsidTr="003E5B95">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top w:val="single" w:sz="4" w:space="0" w:color="auto"/>
              <w:bottom w:val="single" w:sz="4" w:space="0" w:color="auto"/>
              <w:right w:val="single" w:sz="4" w:space="0" w:color="auto"/>
            </w:tcBorders>
            <w:hideMark/>
          </w:tcPr>
          <w:p w14:paraId="64781F0F"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Demographics</w:t>
            </w:r>
          </w:p>
        </w:tc>
        <w:tc>
          <w:tcPr>
            <w:tcW w:w="1208" w:type="pct"/>
            <w:tcBorders>
              <w:top w:val="single" w:sz="4" w:space="0" w:color="auto"/>
              <w:left w:val="single" w:sz="4" w:space="0" w:color="auto"/>
              <w:bottom w:val="single" w:sz="4" w:space="0" w:color="auto"/>
            </w:tcBorders>
            <w:hideMark/>
          </w:tcPr>
          <w:p w14:paraId="6F4C626E"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Frequency</w:t>
            </w:r>
          </w:p>
        </w:tc>
        <w:tc>
          <w:tcPr>
            <w:tcW w:w="1274" w:type="pct"/>
            <w:tcBorders>
              <w:top w:val="single" w:sz="4" w:space="0" w:color="auto"/>
              <w:bottom w:val="single" w:sz="4" w:space="0" w:color="auto"/>
            </w:tcBorders>
            <w:noWrap/>
            <w:hideMark/>
          </w:tcPr>
          <w:p w14:paraId="606909F3"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Percentage</w:t>
            </w:r>
          </w:p>
        </w:tc>
      </w:tr>
      <w:tr w:rsidR="003E5B95" w:rsidRPr="008A6A6E" w14:paraId="6C5BB823"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top w:val="single" w:sz="4" w:space="0" w:color="auto"/>
              <w:right w:val="single" w:sz="4" w:space="0" w:color="auto"/>
            </w:tcBorders>
          </w:tcPr>
          <w:p w14:paraId="423489AC"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Education</w:t>
            </w:r>
          </w:p>
        </w:tc>
        <w:tc>
          <w:tcPr>
            <w:tcW w:w="1208" w:type="pct"/>
            <w:tcBorders>
              <w:top w:val="single" w:sz="4" w:space="0" w:color="auto"/>
              <w:left w:val="single" w:sz="4" w:space="0" w:color="auto"/>
            </w:tcBorders>
          </w:tcPr>
          <w:p w14:paraId="7492695E"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p>
        </w:tc>
        <w:tc>
          <w:tcPr>
            <w:tcW w:w="1274" w:type="pct"/>
            <w:tcBorders>
              <w:top w:val="single" w:sz="4" w:space="0" w:color="auto"/>
            </w:tcBorders>
            <w:noWrap/>
          </w:tcPr>
          <w:p w14:paraId="2FE12BD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p>
        </w:tc>
      </w:tr>
      <w:tr w:rsidR="003E5B95" w:rsidRPr="008A6A6E" w14:paraId="1B7EB97A"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15B3F92C"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High school graduate</w:t>
            </w:r>
          </w:p>
        </w:tc>
        <w:tc>
          <w:tcPr>
            <w:tcW w:w="1208" w:type="pct"/>
            <w:tcBorders>
              <w:left w:val="single" w:sz="4" w:space="0" w:color="auto"/>
            </w:tcBorders>
            <w:noWrap/>
            <w:hideMark/>
          </w:tcPr>
          <w:p w14:paraId="346ADA8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16</w:t>
            </w:r>
          </w:p>
        </w:tc>
        <w:tc>
          <w:tcPr>
            <w:tcW w:w="1274" w:type="pct"/>
            <w:noWrap/>
            <w:hideMark/>
          </w:tcPr>
          <w:p w14:paraId="024E938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6.0</w:t>
            </w:r>
          </w:p>
        </w:tc>
      </w:tr>
      <w:tr w:rsidR="003E5B95" w:rsidRPr="008A6A6E" w14:paraId="1A93E5F5"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679E3478"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Some college, no degree</w:t>
            </w:r>
          </w:p>
        </w:tc>
        <w:tc>
          <w:tcPr>
            <w:tcW w:w="1208" w:type="pct"/>
            <w:tcBorders>
              <w:left w:val="single" w:sz="4" w:space="0" w:color="auto"/>
            </w:tcBorders>
            <w:noWrap/>
            <w:hideMark/>
          </w:tcPr>
          <w:p w14:paraId="3B4FC47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23</w:t>
            </w:r>
          </w:p>
        </w:tc>
        <w:tc>
          <w:tcPr>
            <w:tcW w:w="1274" w:type="pct"/>
            <w:noWrap/>
            <w:hideMark/>
          </w:tcPr>
          <w:p w14:paraId="7E3035F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8.6</w:t>
            </w:r>
          </w:p>
        </w:tc>
      </w:tr>
      <w:tr w:rsidR="003E5B95" w:rsidRPr="008A6A6E" w14:paraId="34DBAACB"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36E9A093"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Bachelor's degree</w:t>
            </w:r>
          </w:p>
        </w:tc>
        <w:tc>
          <w:tcPr>
            <w:tcW w:w="1208" w:type="pct"/>
            <w:tcBorders>
              <w:left w:val="single" w:sz="4" w:space="0" w:color="auto"/>
            </w:tcBorders>
            <w:noWrap/>
            <w:hideMark/>
          </w:tcPr>
          <w:p w14:paraId="3BC20690"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123</w:t>
            </w:r>
          </w:p>
        </w:tc>
        <w:tc>
          <w:tcPr>
            <w:tcW w:w="1274" w:type="pct"/>
            <w:noWrap/>
            <w:hideMark/>
          </w:tcPr>
          <w:p w14:paraId="1D82900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46.1</w:t>
            </w:r>
          </w:p>
        </w:tc>
      </w:tr>
      <w:tr w:rsidR="003E5B95" w:rsidRPr="008A6A6E" w14:paraId="52BED244"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6A33F035"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Master's degree</w:t>
            </w:r>
          </w:p>
        </w:tc>
        <w:tc>
          <w:tcPr>
            <w:tcW w:w="1208" w:type="pct"/>
            <w:tcBorders>
              <w:left w:val="single" w:sz="4" w:space="0" w:color="auto"/>
            </w:tcBorders>
            <w:noWrap/>
            <w:hideMark/>
          </w:tcPr>
          <w:p w14:paraId="6592FF83"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91</w:t>
            </w:r>
          </w:p>
        </w:tc>
        <w:tc>
          <w:tcPr>
            <w:tcW w:w="1274" w:type="pct"/>
            <w:noWrap/>
            <w:hideMark/>
          </w:tcPr>
          <w:p w14:paraId="536131C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34.1</w:t>
            </w:r>
          </w:p>
        </w:tc>
      </w:tr>
      <w:tr w:rsidR="003E5B95" w:rsidRPr="008A6A6E" w14:paraId="74771671"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7D955F07"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Doctorate degree</w:t>
            </w:r>
          </w:p>
        </w:tc>
        <w:tc>
          <w:tcPr>
            <w:tcW w:w="1208" w:type="pct"/>
            <w:tcBorders>
              <w:left w:val="single" w:sz="4" w:space="0" w:color="auto"/>
            </w:tcBorders>
            <w:noWrap/>
            <w:hideMark/>
          </w:tcPr>
          <w:p w14:paraId="666B980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14</w:t>
            </w:r>
          </w:p>
        </w:tc>
        <w:tc>
          <w:tcPr>
            <w:tcW w:w="1274" w:type="pct"/>
            <w:noWrap/>
            <w:hideMark/>
          </w:tcPr>
          <w:p w14:paraId="48B575D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5.2</w:t>
            </w:r>
          </w:p>
        </w:tc>
      </w:tr>
      <w:tr w:rsidR="003E5B95" w:rsidRPr="008A6A6E" w14:paraId="506C82BF"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17A4DC9F"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Age</w:t>
            </w:r>
          </w:p>
        </w:tc>
        <w:tc>
          <w:tcPr>
            <w:tcW w:w="1208" w:type="pct"/>
            <w:tcBorders>
              <w:left w:val="single" w:sz="4" w:space="0" w:color="auto"/>
            </w:tcBorders>
            <w:noWrap/>
            <w:hideMark/>
          </w:tcPr>
          <w:p w14:paraId="2AB0851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1274" w:type="pct"/>
            <w:noWrap/>
            <w:hideMark/>
          </w:tcPr>
          <w:p w14:paraId="50EDDE0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1CAE5DD6"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6DE0B40C"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18-28</w:t>
            </w:r>
          </w:p>
        </w:tc>
        <w:tc>
          <w:tcPr>
            <w:tcW w:w="1208" w:type="pct"/>
            <w:tcBorders>
              <w:left w:val="single" w:sz="4" w:space="0" w:color="auto"/>
            </w:tcBorders>
            <w:noWrap/>
            <w:hideMark/>
          </w:tcPr>
          <w:p w14:paraId="6068285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32</w:t>
            </w:r>
          </w:p>
        </w:tc>
        <w:tc>
          <w:tcPr>
            <w:tcW w:w="1274" w:type="pct"/>
            <w:noWrap/>
            <w:hideMark/>
          </w:tcPr>
          <w:p w14:paraId="16DFA44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12.0</w:t>
            </w:r>
          </w:p>
        </w:tc>
      </w:tr>
      <w:tr w:rsidR="003E5B95" w:rsidRPr="008A6A6E" w14:paraId="1DC0783A"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6852A1FF"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29-38</w:t>
            </w:r>
          </w:p>
        </w:tc>
        <w:tc>
          <w:tcPr>
            <w:tcW w:w="1208" w:type="pct"/>
            <w:tcBorders>
              <w:left w:val="single" w:sz="4" w:space="0" w:color="auto"/>
            </w:tcBorders>
            <w:noWrap/>
            <w:hideMark/>
          </w:tcPr>
          <w:p w14:paraId="451DA9E0"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124</w:t>
            </w:r>
          </w:p>
        </w:tc>
        <w:tc>
          <w:tcPr>
            <w:tcW w:w="1274" w:type="pct"/>
            <w:noWrap/>
            <w:hideMark/>
          </w:tcPr>
          <w:p w14:paraId="1E0AC1F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46.4</w:t>
            </w:r>
          </w:p>
        </w:tc>
      </w:tr>
      <w:tr w:rsidR="003E5B95" w:rsidRPr="008A6A6E" w14:paraId="5EC93370"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7BD10BD4"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39-48</w:t>
            </w:r>
          </w:p>
        </w:tc>
        <w:tc>
          <w:tcPr>
            <w:tcW w:w="1208" w:type="pct"/>
            <w:tcBorders>
              <w:left w:val="single" w:sz="4" w:space="0" w:color="auto"/>
            </w:tcBorders>
            <w:noWrap/>
            <w:hideMark/>
          </w:tcPr>
          <w:p w14:paraId="1DBFBE2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81</w:t>
            </w:r>
          </w:p>
        </w:tc>
        <w:tc>
          <w:tcPr>
            <w:tcW w:w="1274" w:type="pct"/>
            <w:noWrap/>
            <w:hideMark/>
          </w:tcPr>
          <w:p w14:paraId="5FEE94A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30.3</w:t>
            </w:r>
          </w:p>
        </w:tc>
      </w:tr>
      <w:tr w:rsidR="003E5B95" w:rsidRPr="008A6A6E" w14:paraId="134E6B05"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67C7440D"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49-58</w:t>
            </w:r>
          </w:p>
        </w:tc>
        <w:tc>
          <w:tcPr>
            <w:tcW w:w="1208" w:type="pct"/>
            <w:tcBorders>
              <w:left w:val="single" w:sz="4" w:space="0" w:color="auto"/>
            </w:tcBorders>
            <w:noWrap/>
            <w:hideMark/>
          </w:tcPr>
          <w:p w14:paraId="628A83E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24</w:t>
            </w:r>
          </w:p>
        </w:tc>
        <w:tc>
          <w:tcPr>
            <w:tcW w:w="1274" w:type="pct"/>
            <w:noWrap/>
            <w:hideMark/>
          </w:tcPr>
          <w:p w14:paraId="76F4402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9.0</w:t>
            </w:r>
          </w:p>
        </w:tc>
      </w:tr>
      <w:tr w:rsidR="003E5B95" w:rsidRPr="008A6A6E" w14:paraId="07DCFDAB"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426C57B0"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59 and above</w:t>
            </w:r>
          </w:p>
        </w:tc>
        <w:tc>
          <w:tcPr>
            <w:tcW w:w="1208" w:type="pct"/>
            <w:tcBorders>
              <w:left w:val="single" w:sz="4" w:space="0" w:color="auto"/>
            </w:tcBorders>
            <w:noWrap/>
            <w:hideMark/>
          </w:tcPr>
          <w:p w14:paraId="516CCF9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w:t>
            </w:r>
          </w:p>
        </w:tc>
        <w:tc>
          <w:tcPr>
            <w:tcW w:w="1274" w:type="pct"/>
            <w:noWrap/>
            <w:hideMark/>
          </w:tcPr>
          <w:p w14:paraId="566550E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2.2</w:t>
            </w:r>
          </w:p>
        </w:tc>
      </w:tr>
      <w:tr w:rsidR="003E5B95" w:rsidRPr="008A6A6E" w14:paraId="7F20B505"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43FC3D7F"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Gender</w:t>
            </w:r>
          </w:p>
        </w:tc>
        <w:tc>
          <w:tcPr>
            <w:tcW w:w="1208" w:type="pct"/>
            <w:tcBorders>
              <w:left w:val="single" w:sz="4" w:space="0" w:color="auto"/>
            </w:tcBorders>
            <w:noWrap/>
            <w:hideMark/>
          </w:tcPr>
          <w:p w14:paraId="3ED009B4"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1274" w:type="pct"/>
            <w:noWrap/>
            <w:hideMark/>
          </w:tcPr>
          <w:p w14:paraId="4E110CB1"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04D6E214"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24CD6F0A"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Male</w:t>
            </w:r>
          </w:p>
        </w:tc>
        <w:tc>
          <w:tcPr>
            <w:tcW w:w="1208" w:type="pct"/>
            <w:tcBorders>
              <w:left w:val="single" w:sz="4" w:space="0" w:color="auto"/>
            </w:tcBorders>
            <w:noWrap/>
            <w:hideMark/>
          </w:tcPr>
          <w:p w14:paraId="78298D9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186</w:t>
            </w:r>
          </w:p>
        </w:tc>
        <w:tc>
          <w:tcPr>
            <w:tcW w:w="1274" w:type="pct"/>
            <w:noWrap/>
            <w:hideMark/>
          </w:tcPr>
          <w:p w14:paraId="6D2A24E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69.7</w:t>
            </w:r>
          </w:p>
        </w:tc>
      </w:tr>
      <w:tr w:rsidR="003E5B95" w:rsidRPr="008A6A6E" w14:paraId="460CEF5E"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42ABCE3D"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Female</w:t>
            </w:r>
          </w:p>
        </w:tc>
        <w:tc>
          <w:tcPr>
            <w:tcW w:w="1208" w:type="pct"/>
            <w:tcBorders>
              <w:left w:val="single" w:sz="4" w:space="0" w:color="auto"/>
            </w:tcBorders>
            <w:noWrap/>
            <w:hideMark/>
          </w:tcPr>
          <w:p w14:paraId="5413E41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81</w:t>
            </w:r>
          </w:p>
        </w:tc>
        <w:tc>
          <w:tcPr>
            <w:tcW w:w="1274" w:type="pct"/>
            <w:noWrap/>
            <w:hideMark/>
          </w:tcPr>
          <w:p w14:paraId="1A22D9D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30.3</w:t>
            </w:r>
          </w:p>
        </w:tc>
      </w:tr>
      <w:tr w:rsidR="003E5B95" w:rsidRPr="008A6A6E" w14:paraId="0075DD33"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noWrap/>
            <w:hideMark/>
          </w:tcPr>
          <w:p w14:paraId="7947BB31"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Ethnicity</w:t>
            </w:r>
          </w:p>
        </w:tc>
        <w:tc>
          <w:tcPr>
            <w:tcW w:w="1208" w:type="pct"/>
            <w:tcBorders>
              <w:left w:val="single" w:sz="4" w:space="0" w:color="auto"/>
            </w:tcBorders>
            <w:noWrap/>
            <w:hideMark/>
          </w:tcPr>
          <w:p w14:paraId="4FE5430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1274" w:type="pct"/>
            <w:noWrap/>
            <w:hideMark/>
          </w:tcPr>
          <w:p w14:paraId="29496A0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09A55130"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44B39FA8"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African American</w:t>
            </w:r>
          </w:p>
        </w:tc>
        <w:tc>
          <w:tcPr>
            <w:tcW w:w="1208" w:type="pct"/>
            <w:tcBorders>
              <w:left w:val="single" w:sz="4" w:space="0" w:color="auto"/>
            </w:tcBorders>
            <w:noWrap/>
            <w:hideMark/>
          </w:tcPr>
          <w:p w14:paraId="3A00B75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42</w:t>
            </w:r>
          </w:p>
        </w:tc>
        <w:tc>
          <w:tcPr>
            <w:tcW w:w="1274" w:type="pct"/>
            <w:noWrap/>
            <w:hideMark/>
          </w:tcPr>
          <w:p w14:paraId="48874D1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15.7</w:t>
            </w:r>
          </w:p>
        </w:tc>
      </w:tr>
      <w:tr w:rsidR="003E5B95" w:rsidRPr="008A6A6E" w14:paraId="12DF858F"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26284C25"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White</w:t>
            </w:r>
          </w:p>
        </w:tc>
        <w:tc>
          <w:tcPr>
            <w:tcW w:w="1208" w:type="pct"/>
            <w:tcBorders>
              <w:left w:val="single" w:sz="4" w:space="0" w:color="auto"/>
            </w:tcBorders>
            <w:noWrap/>
            <w:hideMark/>
          </w:tcPr>
          <w:p w14:paraId="72FDF9A3"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172</w:t>
            </w:r>
          </w:p>
        </w:tc>
        <w:tc>
          <w:tcPr>
            <w:tcW w:w="1274" w:type="pct"/>
            <w:noWrap/>
            <w:hideMark/>
          </w:tcPr>
          <w:p w14:paraId="145EC606"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64.4</w:t>
            </w:r>
          </w:p>
        </w:tc>
      </w:tr>
      <w:tr w:rsidR="003E5B95" w:rsidRPr="008A6A6E" w14:paraId="47CF1886"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24138D54"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Asian</w:t>
            </w:r>
          </w:p>
        </w:tc>
        <w:tc>
          <w:tcPr>
            <w:tcW w:w="1208" w:type="pct"/>
            <w:tcBorders>
              <w:left w:val="single" w:sz="4" w:space="0" w:color="auto"/>
            </w:tcBorders>
            <w:noWrap/>
            <w:hideMark/>
          </w:tcPr>
          <w:p w14:paraId="1D2182D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20</w:t>
            </w:r>
          </w:p>
        </w:tc>
        <w:tc>
          <w:tcPr>
            <w:tcW w:w="1274" w:type="pct"/>
            <w:noWrap/>
            <w:hideMark/>
          </w:tcPr>
          <w:p w14:paraId="29A55C3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7.5</w:t>
            </w:r>
          </w:p>
        </w:tc>
      </w:tr>
      <w:tr w:rsidR="003E5B95" w:rsidRPr="008A6A6E" w14:paraId="3E56929D"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6EEC9A27"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Hispanic</w:t>
            </w:r>
          </w:p>
        </w:tc>
        <w:tc>
          <w:tcPr>
            <w:tcW w:w="1208" w:type="pct"/>
            <w:tcBorders>
              <w:left w:val="single" w:sz="4" w:space="0" w:color="auto"/>
            </w:tcBorders>
            <w:noWrap/>
            <w:hideMark/>
          </w:tcPr>
          <w:p w14:paraId="05E2C355"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28</w:t>
            </w:r>
          </w:p>
        </w:tc>
        <w:tc>
          <w:tcPr>
            <w:tcW w:w="1274" w:type="pct"/>
            <w:noWrap/>
            <w:hideMark/>
          </w:tcPr>
          <w:p w14:paraId="676C3C6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10.5</w:t>
            </w:r>
          </w:p>
        </w:tc>
      </w:tr>
      <w:tr w:rsidR="003E5B95" w:rsidRPr="008A6A6E" w14:paraId="7188AFE8"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1A435E4A"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Native American</w:t>
            </w:r>
          </w:p>
        </w:tc>
        <w:tc>
          <w:tcPr>
            <w:tcW w:w="1208" w:type="pct"/>
            <w:tcBorders>
              <w:left w:val="single" w:sz="4" w:space="0" w:color="auto"/>
            </w:tcBorders>
            <w:noWrap/>
            <w:hideMark/>
          </w:tcPr>
          <w:p w14:paraId="2584FAC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w:t>
            </w:r>
          </w:p>
        </w:tc>
        <w:tc>
          <w:tcPr>
            <w:tcW w:w="1274" w:type="pct"/>
            <w:noWrap/>
            <w:hideMark/>
          </w:tcPr>
          <w:p w14:paraId="7995591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0.4</w:t>
            </w:r>
          </w:p>
        </w:tc>
      </w:tr>
      <w:tr w:rsidR="003E5B95" w:rsidRPr="008A6A6E" w14:paraId="4B700097"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hideMark/>
          </w:tcPr>
          <w:p w14:paraId="23D15995"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Other, specify</w:t>
            </w:r>
          </w:p>
        </w:tc>
        <w:tc>
          <w:tcPr>
            <w:tcW w:w="1208" w:type="pct"/>
            <w:tcBorders>
              <w:left w:val="single" w:sz="4" w:space="0" w:color="auto"/>
            </w:tcBorders>
            <w:noWrap/>
            <w:hideMark/>
          </w:tcPr>
          <w:p w14:paraId="31667E2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w:t>
            </w:r>
          </w:p>
        </w:tc>
        <w:tc>
          <w:tcPr>
            <w:tcW w:w="1274" w:type="pct"/>
            <w:noWrap/>
            <w:hideMark/>
          </w:tcPr>
          <w:p w14:paraId="44033E0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1.5</w:t>
            </w:r>
          </w:p>
        </w:tc>
      </w:tr>
      <w:tr w:rsidR="003E5B95" w:rsidRPr="008A6A6E" w14:paraId="2EE74895"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22D37D78"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Overall EMS experience</w:t>
            </w:r>
          </w:p>
        </w:tc>
        <w:tc>
          <w:tcPr>
            <w:tcW w:w="1208" w:type="pct"/>
            <w:tcBorders>
              <w:left w:val="single" w:sz="4" w:space="0" w:color="auto"/>
            </w:tcBorders>
            <w:noWrap/>
          </w:tcPr>
          <w:p w14:paraId="26812B8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c>
          <w:tcPr>
            <w:tcW w:w="1274" w:type="pct"/>
            <w:noWrap/>
          </w:tcPr>
          <w:p w14:paraId="44709A9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 </w:t>
            </w:r>
          </w:p>
        </w:tc>
      </w:tr>
      <w:tr w:rsidR="003E5B95" w:rsidRPr="008A6A6E" w14:paraId="2C6D0A1C"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79D838AB"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Less than one year</w:t>
            </w:r>
          </w:p>
        </w:tc>
        <w:tc>
          <w:tcPr>
            <w:tcW w:w="1208" w:type="pct"/>
            <w:tcBorders>
              <w:left w:val="single" w:sz="4" w:space="0" w:color="auto"/>
            </w:tcBorders>
            <w:noWrap/>
          </w:tcPr>
          <w:p w14:paraId="7702EF5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9</w:t>
            </w:r>
          </w:p>
        </w:tc>
        <w:tc>
          <w:tcPr>
            <w:tcW w:w="1274" w:type="pct"/>
            <w:noWrap/>
          </w:tcPr>
          <w:p w14:paraId="46A4696B"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3.4</w:t>
            </w:r>
          </w:p>
        </w:tc>
      </w:tr>
      <w:tr w:rsidR="003E5B95" w:rsidRPr="008A6A6E" w14:paraId="794F9FF6"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6E299EA6"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1-5 years</w:t>
            </w:r>
          </w:p>
        </w:tc>
        <w:tc>
          <w:tcPr>
            <w:tcW w:w="1208" w:type="pct"/>
            <w:tcBorders>
              <w:left w:val="single" w:sz="4" w:space="0" w:color="auto"/>
            </w:tcBorders>
            <w:noWrap/>
          </w:tcPr>
          <w:p w14:paraId="4DB8354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105</w:t>
            </w:r>
          </w:p>
        </w:tc>
        <w:tc>
          <w:tcPr>
            <w:tcW w:w="1274" w:type="pct"/>
            <w:noWrap/>
          </w:tcPr>
          <w:p w14:paraId="2EE098B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39.3</w:t>
            </w:r>
          </w:p>
        </w:tc>
      </w:tr>
      <w:tr w:rsidR="003E5B95" w:rsidRPr="008A6A6E" w14:paraId="57B07415"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7EB88764"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6-10 years</w:t>
            </w:r>
          </w:p>
        </w:tc>
        <w:tc>
          <w:tcPr>
            <w:tcW w:w="1208" w:type="pct"/>
            <w:tcBorders>
              <w:left w:val="single" w:sz="4" w:space="0" w:color="auto"/>
            </w:tcBorders>
            <w:noWrap/>
          </w:tcPr>
          <w:p w14:paraId="082EFE3E"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102</w:t>
            </w:r>
          </w:p>
        </w:tc>
        <w:tc>
          <w:tcPr>
            <w:tcW w:w="1274" w:type="pct"/>
            <w:noWrap/>
          </w:tcPr>
          <w:p w14:paraId="0DDC4E31"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38.2</w:t>
            </w:r>
          </w:p>
        </w:tc>
      </w:tr>
      <w:tr w:rsidR="003E5B95" w:rsidRPr="008A6A6E" w14:paraId="228A745C"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27623201"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11-15 years</w:t>
            </w:r>
          </w:p>
        </w:tc>
        <w:tc>
          <w:tcPr>
            <w:tcW w:w="1208" w:type="pct"/>
            <w:tcBorders>
              <w:left w:val="single" w:sz="4" w:space="0" w:color="auto"/>
            </w:tcBorders>
            <w:noWrap/>
          </w:tcPr>
          <w:p w14:paraId="7D252B2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46</w:t>
            </w:r>
          </w:p>
        </w:tc>
        <w:tc>
          <w:tcPr>
            <w:tcW w:w="1274" w:type="pct"/>
            <w:noWrap/>
          </w:tcPr>
          <w:p w14:paraId="15F63CE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17.2</w:t>
            </w:r>
          </w:p>
        </w:tc>
      </w:tr>
      <w:tr w:rsidR="003E5B95" w:rsidRPr="008A6A6E" w14:paraId="3A7100B4"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349EA120"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15 years or more</w:t>
            </w:r>
          </w:p>
        </w:tc>
        <w:tc>
          <w:tcPr>
            <w:tcW w:w="1208" w:type="pct"/>
            <w:tcBorders>
              <w:left w:val="single" w:sz="4" w:space="0" w:color="auto"/>
            </w:tcBorders>
            <w:noWrap/>
          </w:tcPr>
          <w:p w14:paraId="449808D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5</w:t>
            </w:r>
          </w:p>
        </w:tc>
        <w:tc>
          <w:tcPr>
            <w:tcW w:w="1274" w:type="pct"/>
            <w:noWrap/>
          </w:tcPr>
          <w:p w14:paraId="1797ED2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1.9</w:t>
            </w:r>
          </w:p>
        </w:tc>
      </w:tr>
      <w:tr w:rsidR="003E5B95" w:rsidRPr="008A6A6E" w14:paraId="48C9610B"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1C34BA95"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Tenure within current organization</w:t>
            </w:r>
          </w:p>
        </w:tc>
        <w:tc>
          <w:tcPr>
            <w:tcW w:w="1208" w:type="pct"/>
            <w:tcBorders>
              <w:left w:val="single" w:sz="4" w:space="0" w:color="auto"/>
            </w:tcBorders>
            <w:noWrap/>
          </w:tcPr>
          <w:p w14:paraId="2DE69AA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p>
        </w:tc>
        <w:tc>
          <w:tcPr>
            <w:tcW w:w="1274" w:type="pct"/>
            <w:noWrap/>
          </w:tcPr>
          <w:p w14:paraId="02C7DF2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p>
        </w:tc>
      </w:tr>
      <w:tr w:rsidR="003E5B95" w:rsidRPr="008A6A6E" w14:paraId="4F4076FA"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709CB677"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Less than one year</w:t>
            </w:r>
          </w:p>
        </w:tc>
        <w:tc>
          <w:tcPr>
            <w:tcW w:w="1208" w:type="pct"/>
            <w:tcBorders>
              <w:left w:val="single" w:sz="4" w:space="0" w:color="auto"/>
            </w:tcBorders>
            <w:noWrap/>
          </w:tcPr>
          <w:p w14:paraId="4710F16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w:t>
            </w:r>
          </w:p>
        </w:tc>
        <w:tc>
          <w:tcPr>
            <w:tcW w:w="1274" w:type="pct"/>
            <w:noWrap/>
          </w:tcPr>
          <w:p w14:paraId="700A1E7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1.1</w:t>
            </w:r>
          </w:p>
        </w:tc>
      </w:tr>
      <w:tr w:rsidR="003E5B95" w:rsidRPr="008A6A6E" w14:paraId="5A5E1A10"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77213F71"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1-5 years</w:t>
            </w:r>
          </w:p>
        </w:tc>
        <w:tc>
          <w:tcPr>
            <w:tcW w:w="1208" w:type="pct"/>
            <w:tcBorders>
              <w:left w:val="single" w:sz="4" w:space="0" w:color="auto"/>
            </w:tcBorders>
            <w:noWrap/>
          </w:tcPr>
          <w:p w14:paraId="518BBE1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69</w:t>
            </w:r>
          </w:p>
        </w:tc>
        <w:tc>
          <w:tcPr>
            <w:tcW w:w="1274" w:type="pct"/>
            <w:noWrap/>
          </w:tcPr>
          <w:p w14:paraId="79089C3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25.8</w:t>
            </w:r>
          </w:p>
        </w:tc>
      </w:tr>
      <w:tr w:rsidR="003E5B95" w:rsidRPr="008A6A6E" w14:paraId="07AB9D44"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671AAC41"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6-10 years</w:t>
            </w:r>
          </w:p>
        </w:tc>
        <w:tc>
          <w:tcPr>
            <w:tcW w:w="1208" w:type="pct"/>
            <w:tcBorders>
              <w:left w:val="single" w:sz="4" w:space="0" w:color="auto"/>
            </w:tcBorders>
            <w:noWrap/>
          </w:tcPr>
          <w:p w14:paraId="054F2EA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110</w:t>
            </w:r>
          </w:p>
        </w:tc>
        <w:tc>
          <w:tcPr>
            <w:tcW w:w="1274" w:type="pct"/>
            <w:noWrap/>
          </w:tcPr>
          <w:p w14:paraId="49BD8BDE"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41.2</w:t>
            </w:r>
          </w:p>
        </w:tc>
      </w:tr>
      <w:tr w:rsidR="003E5B95" w:rsidRPr="008A6A6E" w14:paraId="020AA6A5" w14:textId="77777777" w:rsidTr="003E5B95">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518" w:type="pct"/>
            <w:tcBorders>
              <w:right w:val="single" w:sz="4" w:space="0" w:color="auto"/>
            </w:tcBorders>
          </w:tcPr>
          <w:p w14:paraId="5DBCF678"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11-15 years</w:t>
            </w:r>
          </w:p>
        </w:tc>
        <w:tc>
          <w:tcPr>
            <w:tcW w:w="1208" w:type="pct"/>
            <w:tcBorders>
              <w:left w:val="single" w:sz="4" w:space="0" w:color="auto"/>
            </w:tcBorders>
            <w:noWrap/>
          </w:tcPr>
          <w:p w14:paraId="35483F59"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60</w:t>
            </w:r>
          </w:p>
        </w:tc>
        <w:tc>
          <w:tcPr>
            <w:tcW w:w="1274" w:type="pct"/>
            <w:noWrap/>
          </w:tcPr>
          <w:p w14:paraId="2FB3066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22.5</w:t>
            </w:r>
          </w:p>
        </w:tc>
      </w:tr>
      <w:tr w:rsidR="003E5B95" w:rsidRPr="008A6A6E" w14:paraId="2BADEED0" w14:textId="77777777" w:rsidTr="003E5B95">
        <w:trPr>
          <w:trHeight w:val="288"/>
        </w:trPr>
        <w:tc>
          <w:tcPr>
            <w:cnfStyle w:val="001000000000" w:firstRow="0" w:lastRow="0" w:firstColumn="1" w:lastColumn="0" w:oddVBand="0" w:evenVBand="0" w:oddHBand="0" w:evenHBand="0" w:firstRowFirstColumn="0" w:firstRowLastColumn="0" w:lastRowFirstColumn="0" w:lastRowLastColumn="0"/>
            <w:tcW w:w="2518" w:type="pct"/>
            <w:tcBorders>
              <w:bottom w:val="single" w:sz="4" w:space="0" w:color="auto"/>
              <w:right w:val="single" w:sz="4" w:space="0" w:color="auto"/>
            </w:tcBorders>
          </w:tcPr>
          <w:p w14:paraId="6DA7C501" w14:textId="77777777" w:rsidR="003E5B95" w:rsidRPr="008A6A6E" w:rsidRDefault="003E5B95" w:rsidP="003E5B95">
            <w:pPr>
              <w:spacing w:line="240" w:lineRule="auto"/>
              <w:ind w:left="360"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15 years or more</w:t>
            </w:r>
          </w:p>
        </w:tc>
        <w:tc>
          <w:tcPr>
            <w:tcW w:w="1208" w:type="pct"/>
            <w:tcBorders>
              <w:left w:val="single" w:sz="4" w:space="0" w:color="auto"/>
              <w:bottom w:val="single" w:sz="4" w:space="0" w:color="auto"/>
            </w:tcBorders>
            <w:noWrap/>
          </w:tcPr>
          <w:p w14:paraId="583DB8FE"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25</w:t>
            </w:r>
          </w:p>
        </w:tc>
        <w:tc>
          <w:tcPr>
            <w:tcW w:w="1274" w:type="pct"/>
            <w:tcBorders>
              <w:bottom w:val="single" w:sz="4" w:space="0" w:color="auto"/>
            </w:tcBorders>
            <w:noWrap/>
          </w:tcPr>
          <w:p w14:paraId="52EEBBF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9.4</w:t>
            </w:r>
          </w:p>
        </w:tc>
      </w:tr>
    </w:tbl>
    <w:p w14:paraId="4AAF739C" w14:textId="77777777" w:rsidR="003E5B95" w:rsidRPr="00127696" w:rsidRDefault="003E5B95" w:rsidP="003E5B95">
      <w:pPr>
        <w:pStyle w:val="Caption"/>
        <w:keepNext/>
        <w:rPr>
          <w:sz w:val="24"/>
          <w:szCs w:val="24"/>
        </w:rPr>
      </w:pPr>
    </w:p>
    <w:p w14:paraId="47F2FD8A" w14:textId="77777777" w:rsidR="003E5B95" w:rsidRPr="00127696" w:rsidRDefault="003E5B95" w:rsidP="008A6A6E">
      <w:pPr>
        <w:pStyle w:val="Caption"/>
        <w:keepNext/>
        <w:spacing w:line="480" w:lineRule="auto"/>
        <w:rPr>
          <w:sz w:val="24"/>
          <w:szCs w:val="24"/>
        </w:rPr>
      </w:pPr>
      <w:bookmarkStart w:id="314" w:name="_Toc73955271"/>
      <w:bookmarkStart w:id="315" w:name="_Toc74074432"/>
      <w:r w:rsidRPr="00127696">
        <w:rPr>
          <w:sz w:val="24"/>
          <w:szCs w:val="24"/>
        </w:rPr>
        <w:t xml:space="preserve">Table </w:t>
      </w:r>
      <w:r>
        <w:rPr>
          <w:sz w:val="24"/>
          <w:szCs w:val="24"/>
        </w:rPr>
        <w:t>J2</w:t>
      </w:r>
      <w:r w:rsidRPr="00127696">
        <w:rPr>
          <w:sz w:val="24"/>
          <w:szCs w:val="24"/>
        </w:rPr>
        <w:t xml:space="preserve"> </w:t>
      </w:r>
      <w:bookmarkStart w:id="316" w:name="_Toc73917991"/>
    </w:p>
    <w:p w14:paraId="4FF5771E" w14:textId="77777777" w:rsidR="003E5B95" w:rsidRPr="008A6A6E" w:rsidRDefault="003E5B95" w:rsidP="008A6A6E">
      <w:pPr>
        <w:pStyle w:val="Caption"/>
        <w:keepNext/>
        <w:spacing w:line="480" w:lineRule="auto"/>
        <w:rPr>
          <w:b w:val="0"/>
          <w:bCs/>
          <w:i/>
          <w:iCs w:val="0"/>
          <w:sz w:val="24"/>
          <w:szCs w:val="24"/>
        </w:rPr>
      </w:pPr>
      <w:r w:rsidRPr="008A6A6E">
        <w:rPr>
          <w:b w:val="0"/>
          <w:bCs/>
          <w:i/>
          <w:iCs w:val="0"/>
          <w:sz w:val="24"/>
          <w:szCs w:val="24"/>
        </w:rPr>
        <w:t>Participants' Job Description as per NIST-NICE Framework</w:t>
      </w:r>
      <w:bookmarkEnd w:id="314"/>
      <w:bookmarkEnd w:id="315"/>
      <w:bookmarkEnd w:id="316"/>
    </w:p>
    <w:tbl>
      <w:tblPr>
        <w:tblStyle w:val="PlainTable4"/>
        <w:tblW w:w="9355" w:type="dxa"/>
        <w:tblBorders>
          <w:top w:val="single" w:sz="4" w:space="0" w:color="auto"/>
          <w:bottom w:val="single" w:sz="4" w:space="0" w:color="auto"/>
        </w:tblBorders>
        <w:tblLayout w:type="fixed"/>
        <w:tblLook w:val="04A0" w:firstRow="1" w:lastRow="0" w:firstColumn="1" w:lastColumn="0" w:noHBand="0" w:noVBand="1"/>
      </w:tblPr>
      <w:tblGrid>
        <w:gridCol w:w="1350"/>
        <w:gridCol w:w="1080"/>
        <w:gridCol w:w="1170"/>
        <w:gridCol w:w="1170"/>
        <w:gridCol w:w="1075"/>
        <w:gridCol w:w="990"/>
        <w:gridCol w:w="1350"/>
        <w:gridCol w:w="1170"/>
      </w:tblGrid>
      <w:tr w:rsidR="003E5B95" w:rsidRPr="008A6A6E" w14:paraId="7D888C8D" w14:textId="77777777" w:rsidTr="00A84905">
        <w:trPr>
          <w:cnfStyle w:val="100000000000" w:firstRow="1" w:lastRow="0" w:firstColumn="0" w:lastColumn="0" w:oddVBand="0" w:evenVBand="0" w:oddHBand="0"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1350" w:type="dxa"/>
            <w:tcBorders>
              <w:top w:val="single" w:sz="4" w:space="0" w:color="auto"/>
              <w:bottom w:val="single" w:sz="4" w:space="0" w:color="auto"/>
            </w:tcBorders>
            <w:hideMark/>
          </w:tcPr>
          <w:p w14:paraId="16E78787" w14:textId="77777777" w:rsidR="003E5B95" w:rsidRPr="008A6A6E" w:rsidRDefault="003E5B95" w:rsidP="00A84905">
            <w:pPr>
              <w:keepNext/>
              <w:spacing w:line="240" w:lineRule="auto"/>
              <w:ind w:firstLine="0"/>
              <w:contextualSpacing w:val="0"/>
              <w:jc w:val="center"/>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NIST job roles</w:t>
            </w:r>
          </w:p>
        </w:tc>
        <w:tc>
          <w:tcPr>
            <w:tcW w:w="1080" w:type="dxa"/>
            <w:tcBorders>
              <w:top w:val="single" w:sz="4" w:space="0" w:color="auto"/>
              <w:bottom w:val="single" w:sz="4" w:space="0" w:color="auto"/>
            </w:tcBorders>
            <w:hideMark/>
          </w:tcPr>
          <w:p w14:paraId="4B470069"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Operate and maintain</w:t>
            </w:r>
          </w:p>
        </w:tc>
        <w:tc>
          <w:tcPr>
            <w:tcW w:w="1170" w:type="dxa"/>
            <w:tcBorders>
              <w:top w:val="single" w:sz="4" w:space="0" w:color="auto"/>
              <w:bottom w:val="single" w:sz="4" w:space="0" w:color="auto"/>
            </w:tcBorders>
            <w:hideMark/>
          </w:tcPr>
          <w:p w14:paraId="7DE7A916"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Oversee and govern</w:t>
            </w:r>
          </w:p>
        </w:tc>
        <w:tc>
          <w:tcPr>
            <w:tcW w:w="1170" w:type="dxa"/>
            <w:tcBorders>
              <w:top w:val="single" w:sz="4" w:space="0" w:color="auto"/>
              <w:bottom w:val="single" w:sz="4" w:space="0" w:color="auto"/>
            </w:tcBorders>
            <w:hideMark/>
          </w:tcPr>
          <w:p w14:paraId="3B4EB53E"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Protect and defend</w:t>
            </w:r>
          </w:p>
        </w:tc>
        <w:tc>
          <w:tcPr>
            <w:tcW w:w="1075" w:type="dxa"/>
            <w:tcBorders>
              <w:top w:val="single" w:sz="4" w:space="0" w:color="auto"/>
              <w:bottom w:val="single" w:sz="4" w:space="0" w:color="auto"/>
            </w:tcBorders>
            <w:hideMark/>
          </w:tcPr>
          <w:p w14:paraId="558BD5ED"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Analyze</w:t>
            </w:r>
          </w:p>
        </w:tc>
        <w:tc>
          <w:tcPr>
            <w:tcW w:w="990" w:type="dxa"/>
            <w:tcBorders>
              <w:top w:val="single" w:sz="4" w:space="0" w:color="auto"/>
              <w:bottom w:val="single" w:sz="4" w:space="0" w:color="auto"/>
            </w:tcBorders>
            <w:hideMark/>
          </w:tcPr>
          <w:p w14:paraId="709ACD18"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Collect and operate</w:t>
            </w:r>
          </w:p>
        </w:tc>
        <w:tc>
          <w:tcPr>
            <w:tcW w:w="1350" w:type="dxa"/>
            <w:tcBorders>
              <w:top w:val="single" w:sz="4" w:space="0" w:color="auto"/>
              <w:bottom w:val="single" w:sz="4" w:space="0" w:color="auto"/>
            </w:tcBorders>
            <w:hideMark/>
          </w:tcPr>
          <w:p w14:paraId="7DBB166A"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Investigate</w:t>
            </w:r>
          </w:p>
        </w:tc>
        <w:tc>
          <w:tcPr>
            <w:tcW w:w="1170" w:type="dxa"/>
            <w:tcBorders>
              <w:top w:val="single" w:sz="4" w:space="0" w:color="auto"/>
              <w:bottom w:val="single" w:sz="4" w:space="0" w:color="auto"/>
            </w:tcBorders>
            <w:hideMark/>
          </w:tcPr>
          <w:p w14:paraId="0D57D4BA" w14:textId="77777777" w:rsidR="003E5B95" w:rsidRPr="008A6A6E" w:rsidRDefault="003E5B95" w:rsidP="00A84905">
            <w:pPr>
              <w:keepNext/>
              <w:spacing w:line="240" w:lineRule="auto"/>
              <w:ind w:firstLine="0"/>
              <w:contextualSpacing w:val="0"/>
              <w:jc w:val="center"/>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Securely Provision</w:t>
            </w:r>
          </w:p>
        </w:tc>
      </w:tr>
      <w:tr w:rsidR="003E5B95" w:rsidRPr="008A6A6E" w14:paraId="4FDE6E6B" w14:textId="77777777" w:rsidTr="00A84905">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1350" w:type="dxa"/>
            <w:tcBorders>
              <w:top w:val="single" w:sz="4" w:space="0" w:color="auto"/>
            </w:tcBorders>
            <w:hideMark/>
          </w:tcPr>
          <w:p w14:paraId="7A850B22" w14:textId="77777777" w:rsidR="003E5B95" w:rsidRPr="008A6A6E" w:rsidRDefault="003E5B95" w:rsidP="003E5B95">
            <w:pPr>
              <w:keepNext/>
              <w:spacing w:line="240" w:lineRule="auto"/>
              <w:ind w:firstLine="0"/>
              <w:contextualSpacing w:val="0"/>
              <w:jc w:val="center"/>
              <w:rPr>
                <w:rFonts w:eastAsia="Times New Roman" w:cs="Times New Roman"/>
                <w:b w:val="0"/>
                <w:bCs w:val="0"/>
                <w:color w:val="000000"/>
                <w:kern w:val="0"/>
                <w:szCs w:val="24"/>
                <w:lang w:eastAsia="en-US"/>
              </w:rPr>
            </w:pPr>
            <w:r w:rsidRPr="008A6A6E">
              <w:rPr>
                <w:rFonts w:eastAsia="Times New Roman" w:cs="Times New Roman"/>
                <w:b w:val="0"/>
                <w:bCs w:val="0"/>
                <w:color w:val="000000"/>
                <w:kern w:val="0"/>
                <w:szCs w:val="24"/>
                <w:lang w:eastAsia="en-US"/>
              </w:rPr>
              <w:t>Frequency (%)</w:t>
            </w:r>
          </w:p>
        </w:tc>
        <w:tc>
          <w:tcPr>
            <w:tcW w:w="1080" w:type="dxa"/>
            <w:tcBorders>
              <w:top w:val="single" w:sz="4" w:space="0" w:color="auto"/>
            </w:tcBorders>
            <w:hideMark/>
          </w:tcPr>
          <w:p w14:paraId="5D0918C0"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115 (43.1)</w:t>
            </w:r>
          </w:p>
        </w:tc>
        <w:tc>
          <w:tcPr>
            <w:tcW w:w="1170" w:type="dxa"/>
            <w:tcBorders>
              <w:top w:val="single" w:sz="4" w:space="0" w:color="auto"/>
            </w:tcBorders>
            <w:hideMark/>
          </w:tcPr>
          <w:p w14:paraId="41077244"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129</w:t>
            </w:r>
          </w:p>
          <w:p w14:paraId="55B75F7C"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(48.3)</w:t>
            </w:r>
          </w:p>
        </w:tc>
        <w:tc>
          <w:tcPr>
            <w:tcW w:w="1170" w:type="dxa"/>
            <w:tcBorders>
              <w:top w:val="single" w:sz="4" w:space="0" w:color="auto"/>
            </w:tcBorders>
            <w:hideMark/>
          </w:tcPr>
          <w:p w14:paraId="76D70E81"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89 (33.3)</w:t>
            </w:r>
          </w:p>
        </w:tc>
        <w:tc>
          <w:tcPr>
            <w:tcW w:w="1075" w:type="dxa"/>
            <w:tcBorders>
              <w:top w:val="single" w:sz="4" w:space="0" w:color="auto"/>
            </w:tcBorders>
            <w:hideMark/>
          </w:tcPr>
          <w:p w14:paraId="335471BC"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77 (28.8)</w:t>
            </w:r>
          </w:p>
        </w:tc>
        <w:tc>
          <w:tcPr>
            <w:tcW w:w="990" w:type="dxa"/>
            <w:tcBorders>
              <w:top w:val="single" w:sz="4" w:space="0" w:color="auto"/>
            </w:tcBorders>
            <w:hideMark/>
          </w:tcPr>
          <w:p w14:paraId="499C1156"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45 (16.9)</w:t>
            </w:r>
          </w:p>
        </w:tc>
        <w:tc>
          <w:tcPr>
            <w:tcW w:w="1350" w:type="dxa"/>
            <w:tcBorders>
              <w:top w:val="single" w:sz="4" w:space="0" w:color="auto"/>
            </w:tcBorders>
            <w:hideMark/>
          </w:tcPr>
          <w:p w14:paraId="0351FA7F" w14:textId="77777777" w:rsidR="003E5B95" w:rsidRPr="008A6A6E" w:rsidRDefault="003E5B95" w:rsidP="003E5B95">
            <w:pPr>
              <w:keepNext/>
              <w:spacing w:after="160" w:line="259"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cs="Times New Roman"/>
                <w:color w:val="000000"/>
                <w:kern w:val="0"/>
                <w:szCs w:val="24"/>
                <w:lang w:eastAsia="en-US"/>
              </w:rPr>
            </w:pPr>
            <w:r w:rsidRPr="008A6A6E">
              <w:rPr>
                <w:rFonts w:cs="Times New Roman"/>
                <w:color w:val="000000"/>
                <w:kern w:val="0"/>
                <w:szCs w:val="24"/>
                <w:lang w:eastAsia="en-US"/>
              </w:rPr>
              <w:t>79 (29.6)</w:t>
            </w:r>
          </w:p>
        </w:tc>
        <w:tc>
          <w:tcPr>
            <w:tcW w:w="1170" w:type="dxa"/>
            <w:tcBorders>
              <w:top w:val="single" w:sz="4" w:space="0" w:color="auto"/>
            </w:tcBorders>
            <w:hideMark/>
          </w:tcPr>
          <w:p w14:paraId="7B037CFA" w14:textId="77777777" w:rsidR="003E5B95" w:rsidRPr="008A6A6E" w:rsidRDefault="003E5B95" w:rsidP="003E5B95">
            <w:pPr>
              <w:keepNext/>
              <w:spacing w:line="240" w:lineRule="auto"/>
              <w:ind w:firstLine="0"/>
              <w:contextualSpacing w:val="0"/>
              <w:jc w:val="center"/>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66 (24.7)</w:t>
            </w:r>
          </w:p>
        </w:tc>
      </w:tr>
    </w:tbl>
    <w:p w14:paraId="233EE97F" w14:textId="77777777" w:rsidR="003E5B95" w:rsidRDefault="003E5B95" w:rsidP="003E5B95">
      <w:pPr>
        <w:spacing w:after="160" w:line="259" w:lineRule="auto"/>
        <w:ind w:firstLine="0"/>
        <w:contextualSpacing w:val="0"/>
        <w:rPr>
          <w:rFonts w:cs="Times New Roman"/>
          <w:b/>
          <w:bCs/>
          <w:kern w:val="0"/>
          <w:szCs w:val="24"/>
          <w:lang w:eastAsia="en-US"/>
        </w:rPr>
      </w:pPr>
    </w:p>
    <w:p w14:paraId="3F9072D2" w14:textId="77777777" w:rsidR="003E5B95" w:rsidRDefault="003E5B95">
      <w:pPr>
        <w:spacing w:after="160" w:line="259" w:lineRule="auto"/>
        <w:ind w:firstLine="0"/>
        <w:contextualSpacing w:val="0"/>
        <w:rPr>
          <w:rFonts w:cs="Times New Roman"/>
          <w:b/>
          <w:bCs/>
          <w:kern w:val="0"/>
          <w:szCs w:val="24"/>
          <w:lang w:eastAsia="en-US"/>
        </w:rPr>
      </w:pPr>
      <w:r>
        <w:rPr>
          <w:rFonts w:cs="Times New Roman"/>
          <w:b/>
          <w:bCs/>
          <w:kern w:val="0"/>
          <w:szCs w:val="24"/>
          <w:lang w:eastAsia="en-US"/>
        </w:rPr>
        <w:br w:type="page"/>
      </w:r>
    </w:p>
    <w:p w14:paraId="2391B948" w14:textId="77777777" w:rsidR="003E5B95" w:rsidRPr="00AC29E4" w:rsidRDefault="003E5B95" w:rsidP="003E5B95">
      <w:pPr>
        <w:spacing w:after="160" w:line="259" w:lineRule="auto"/>
        <w:ind w:firstLine="0"/>
        <w:contextualSpacing w:val="0"/>
        <w:rPr>
          <w:rFonts w:cs="Times New Roman"/>
          <w:b/>
          <w:bCs/>
          <w:kern w:val="0"/>
          <w:szCs w:val="24"/>
          <w:lang w:eastAsia="en-US"/>
        </w:rPr>
      </w:pPr>
    </w:p>
    <w:p w14:paraId="287DD494" w14:textId="77777777" w:rsidR="003E5B95" w:rsidRPr="00C46BBC" w:rsidRDefault="003E5B95" w:rsidP="003E5B95">
      <w:pPr>
        <w:pStyle w:val="Heading1"/>
        <w:rPr>
          <w:b/>
          <w:bCs/>
          <w:lang w:eastAsia="en-US"/>
        </w:rPr>
      </w:pPr>
      <w:bookmarkStart w:id="317" w:name="_Toc74087560"/>
      <w:bookmarkStart w:id="318" w:name="_Toc74258676"/>
      <w:r w:rsidRPr="00C46BBC">
        <w:rPr>
          <w:b/>
          <w:bCs/>
          <w:lang w:eastAsia="en-US"/>
        </w:rPr>
        <w:t>APPENDIX K: QUANTITATIVE STUDY RESULTS</w:t>
      </w:r>
      <w:bookmarkEnd w:id="317"/>
      <w:bookmarkEnd w:id="318"/>
    </w:p>
    <w:p w14:paraId="7E50E7EF" w14:textId="77777777" w:rsidR="003E5B95" w:rsidRPr="00127696" w:rsidRDefault="003E5B95" w:rsidP="003E5B95">
      <w:pPr>
        <w:pStyle w:val="Caption"/>
        <w:keepNext/>
        <w:spacing w:line="480" w:lineRule="auto"/>
        <w:rPr>
          <w:sz w:val="24"/>
          <w:szCs w:val="24"/>
        </w:rPr>
      </w:pPr>
      <w:bookmarkStart w:id="319" w:name="_Toc73955272"/>
      <w:bookmarkStart w:id="320" w:name="_Toc74074433"/>
      <w:r w:rsidRPr="00127696">
        <w:rPr>
          <w:sz w:val="24"/>
          <w:szCs w:val="24"/>
        </w:rPr>
        <w:t xml:space="preserve">Table K1 </w:t>
      </w:r>
      <w:bookmarkStart w:id="321" w:name="_Toc73917992"/>
    </w:p>
    <w:p w14:paraId="00DEC88B" w14:textId="77777777" w:rsidR="003E5B95" w:rsidRPr="00127696" w:rsidRDefault="003E5B95" w:rsidP="003E5B95">
      <w:pPr>
        <w:pStyle w:val="Caption"/>
        <w:keepNext/>
        <w:spacing w:line="480" w:lineRule="auto"/>
        <w:rPr>
          <w:b w:val="0"/>
          <w:bCs/>
          <w:i/>
          <w:iCs w:val="0"/>
          <w:sz w:val="24"/>
          <w:szCs w:val="24"/>
        </w:rPr>
      </w:pPr>
      <w:r w:rsidRPr="00127696">
        <w:rPr>
          <w:b w:val="0"/>
          <w:bCs/>
          <w:i/>
          <w:iCs w:val="0"/>
          <w:sz w:val="24"/>
          <w:szCs w:val="24"/>
        </w:rPr>
        <w:t>Mean and Standard Deviation of Stage I Model Variables</w:t>
      </w:r>
      <w:bookmarkEnd w:id="319"/>
      <w:bookmarkEnd w:id="320"/>
      <w:bookmarkEnd w:id="321"/>
    </w:p>
    <w:tbl>
      <w:tblPr>
        <w:tblStyle w:val="PlainTable4"/>
        <w:tblW w:w="5000" w:type="pct"/>
        <w:tblLayout w:type="fixed"/>
        <w:tblLook w:val="04A0" w:firstRow="1" w:lastRow="0" w:firstColumn="1" w:lastColumn="0" w:noHBand="0" w:noVBand="1"/>
      </w:tblPr>
      <w:tblGrid>
        <w:gridCol w:w="1170"/>
        <w:gridCol w:w="900"/>
        <w:gridCol w:w="1170"/>
        <w:gridCol w:w="1350"/>
        <w:gridCol w:w="1260"/>
        <w:gridCol w:w="1350"/>
        <w:gridCol w:w="1170"/>
        <w:gridCol w:w="990"/>
      </w:tblGrid>
      <w:tr w:rsidR="003E5B95" w:rsidRPr="003E0C65" w14:paraId="143BCCF7" w14:textId="77777777" w:rsidTr="003E5B95">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25" w:type="pct"/>
            <w:tcBorders>
              <w:top w:val="single" w:sz="4" w:space="0" w:color="auto"/>
              <w:bottom w:val="single" w:sz="4" w:space="0" w:color="auto"/>
              <w:right w:val="single" w:sz="4" w:space="0" w:color="auto"/>
            </w:tcBorders>
            <w:hideMark/>
          </w:tcPr>
          <w:p w14:paraId="7DC034C4" w14:textId="77777777" w:rsidR="003E5B95" w:rsidRPr="003E0C65" w:rsidRDefault="003E5B95" w:rsidP="003E5B95">
            <w:pPr>
              <w:spacing w:line="240" w:lineRule="auto"/>
              <w:ind w:firstLine="0"/>
              <w:contextualSpacing w:val="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Statistics</w:t>
            </w:r>
          </w:p>
        </w:tc>
        <w:tc>
          <w:tcPr>
            <w:tcW w:w="481" w:type="pct"/>
            <w:tcBorders>
              <w:top w:val="single" w:sz="4" w:space="0" w:color="auto"/>
              <w:left w:val="single" w:sz="4" w:space="0" w:color="auto"/>
              <w:bottom w:val="single" w:sz="4" w:space="0" w:color="auto"/>
            </w:tcBorders>
            <w:hideMark/>
          </w:tcPr>
          <w:p w14:paraId="51B52CDA"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USE</w:t>
            </w:r>
          </w:p>
        </w:tc>
        <w:tc>
          <w:tcPr>
            <w:tcW w:w="625" w:type="pct"/>
            <w:tcBorders>
              <w:top w:val="single" w:sz="4" w:space="0" w:color="auto"/>
              <w:bottom w:val="single" w:sz="4" w:space="0" w:color="auto"/>
            </w:tcBorders>
            <w:hideMark/>
          </w:tcPr>
          <w:p w14:paraId="2E8690EC"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INTEROP</w:t>
            </w:r>
          </w:p>
        </w:tc>
        <w:tc>
          <w:tcPr>
            <w:tcW w:w="721" w:type="pct"/>
            <w:tcBorders>
              <w:top w:val="single" w:sz="4" w:space="0" w:color="auto"/>
              <w:bottom w:val="single" w:sz="4" w:space="0" w:color="auto"/>
            </w:tcBorders>
            <w:hideMark/>
          </w:tcPr>
          <w:p w14:paraId="7B726C85"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FALSENEG</w:t>
            </w:r>
          </w:p>
        </w:tc>
        <w:tc>
          <w:tcPr>
            <w:tcW w:w="673" w:type="pct"/>
            <w:tcBorders>
              <w:top w:val="single" w:sz="4" w:space="0" w:color="auto"/>
              <w:bottom w:val="single" w:sz="4" w:space="0" w:color="auto"/>
            </w:tcBorders>
            <w:hideMark/>
          </w:tcPr>
          <w:p w14:paraId="6FBA32C2"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FALSEPOS</w:t>
            </w:r>
          </w:p>
        </w:tc>
        <w:tc>
          <w:tcPr>
            <w:tcW w:w="721" w:type="pct"/>
            <w:tcBorders>
              <w:top w:val="single" w:sz="4" w:space="0" w:color="auto"/>
              <w:bottom w:val="single" w:sz="4" w:space="0" w:color="auto"/>
            </w:tcBorders>
            <w:hideMark/>
          </w:tcPr>
          <w:p w14:paraId="553A33D6"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COMPLEX</w:t>
            </w:r>
          </w:p>
        </w:tc>
        <w:tc>
          <w:tcPr>
            <w:tcW w:w="625" w:type="pct"/>
            <w:tcBorders>
              <w:top w:val="single" w:sz="4" w:space="0" w:color="auto"/>
              <w:bottom w:val="single" w:sz="4" w:space="0" w:color="auto"/>
            </w:tcBorders>
            <w:hideMark/>
          </w:tcPr>
          <w:p w14:paraId="34E38038"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SECCLI</w:t>
            </w:r>
          </w:p>
        </w:tc>
        <w:tc>
          <w:tcPr>
            <w:tcW w:w="529" w:type="pct"/>
            <w:tcBorders>
              <w:top w:val="single" w:sz="4" w:space="0" w:color="auto"/>
              <w:bottom w:val="single" w:sz="4" w:space="0" w:color="auto"/>
            </w:tcBorders>
            <w:hideMark/>
          </w:tcPr>
          <w:p w14:paraId="16BAB844" w14:textId="77777777" w:rsidR="003E5B95" w:rsidRPr="003E0C65"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REL</w:t>
            </w:r>
          </w:p>
        </w:tc>
      </w:tr>
      <w:tr w:rsidR="003E5B95" w:rsidRPr="003E0C65" w14:paraId="5DD171A1"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25" w:type="pct"/>
            <w:tcBorders>
              <w:top w:val="single" w:sz="4" w:space="0" w:color="auto"/>
              <w:right w:val="single" w:sz="4" w:space="0" w:color="auto"/>
            </w:tcBorders>
            <w:hideMark/>
          </w:tcPr>
          <w:p w14:paraId="5532E56A" w14:textId="77777777" w:rsidR="003E5B95" w:rsidRPr="003E0C65" w:rsidRDefault="003E5B95" w:rsidP="003E5B95">
            <w:pPr>
              <w:spacing w:line="240" w:lineRule="auto"/>
              <w:ind w:firstLine="0"/>
              <w:contextualSpacing w:val="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Mean</w:t>
            </w:r>
          </w:p>
        </w:tc>
        <w:tc>
          <w:tcPr>
            <w:tcW w:w="481" w:type="pct"/>
            <w:tcBorders>
              <w:top w:val="single" w:sz="4" w:space="0" w:color="auto"/>
              <w:left w:val="single" w:sz="4" w:space="0" w:color="auto"/>
            </w:tcBorders>
            <w:noWrap/>
            <w:hideMark/>
          </w:tcPr>
          <w:p w14:paraId="1C97EA81"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16.996</w:t>
            </w:r>
          </w:p>
        </w:tc>
        <w:tc>
          <w:tcPr>
            <w:tcW w:w="625" w:type="pct"/>
            <w:tcBorders>
              <w:top w:val="single" w:sz="4" w:space="0" w:color="auto"/>
            </w:tcBorders>
            <w:noWrap/>
            <w:hideMark/>
          </w:tcPr>
          <w:p w14:paraId="0B0C05EC"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15.757</w:t>
            </w:r>
          </w:p>
        </w:tc>
        <w:tc>
          <w:tcPr>
            <w:tcW w:w="721" w:type="pct"/>
            <w:tcBorders>
              <w:top w:val="single" w:sz="4" w:space="0" w:color="auto"/>
            </w:tcBorders>
            <w:noWrap/>
            <w:hideMark/>
          </w:tcPr>
          <w:p w14:paraId="674BE4E8"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9.375</w:t>
            </w:r>
          </w:p>
        </w:tc>
        <w:tc>
          <w:tcPr>
            <w:tcW w:w="673" w:type="pct"/>
            <w:tcBorders>
              <w:top w:val="single" w:sz="4" w:space="0" w:color="auto"/>
            </w:tcBorders>
            <w:noWrap/>
            <w:hideMark/>
          </w:tcPr>
          <w:p w14:paraId="65997EA2"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10.116</w:t>
            </w:r>
          </w:p>
        </w:tc>
        <w:tc>
          <w:tcPr>
            <w:tcW w:w="721" w:type="pct"/>
            <w:tcBorders>
              <w:top w:val="single" w:sz="4" w:space="0" w:color="auto"/>
            </w:tcBorders>
            <w:noWrap/>
            <w:hideMark/>
          </w:tcPr>
          <w:p w14:paraId="4C9BEB56"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12.393</w:t>
            </w:r>
          </w:p>
        </w:tc>
        <w:tc>
          <w:tcPr>
            <w:tcW w:w="625" w:type="pct"/>
            <w:tcBorders>
              <w:top w:val="single" w:sz="4" w:space="0" w:color="auto"/>
            </w:tcBorders>
            <w:noWrap/>
            <w:hideMark/>
          </w:tcPr>
          <w:p w14:paraId="14A01DF5"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25.854</w:t>
            </w:r>
          </w:p>
        </w:tc>
        <w:tc>
          <w:tcPr>
            <w:tcW w:w="529" w:type="pct"/>
            <w:tcBorders>
              <w:top w:val="single" w:sz="4" w:space="0" w:color="auto"/>
            </w:tcBorders>
            <w:noWrap/>
            <w:hideMark/>
          </w:tcPr>
          <w:p w14:paraId="5DAA0011"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15.079</w:t>
            </w:r>
          </w:p>
        </w:tc>
      </w:tr>
      <w:tr w:rsidR="003E5B95" w:rsidRPr="003E0C65" w14:paraId="51305251"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625" w:type="pct"/>
            <w:tcBorders>
              <w:right w:val="single" w:sz="4" w:space="0" w:color="auto"/>
            </w:tcBorders>
            <w:hideMark/>
          </w:tcPr>
          <w:p w14:paraId="47010514" w14:textId="77777777" w:rsidR="003E5B95" w:rsidRPr="003E0C65" w:rsidRDefault="003E5B95" w:rsidP="003E5B95">
            <w:pPr>
              <w:spacing w:line="240" w:lineRule="auto"/>
              <w:ind w:firstLine="0"/>
              <w:contextualSpacing w:val="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S.D.</w:t>
            </w:r>
          </w:p>
        </w:tc>
        <w:tc>
          <w:tcPr>
            <w:tcW w:w="481" w:type="pct"/>
            <w:tcBorders>
              <w:left w:val="single" w:sz="4" w:space="0" w:color="auto"/>
            </w:tcBorders>
            <w:noWrap/>
            <w:hideMark/>
          </w:tcPr>
          <w:p w14:paraId="0D2CB712"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2.634</w:t>
            </w:r>
          </w:p>
        </w:tc>
        <w:tc>
          <w:tcPr>
            <w:tcW w:w="625" w:type="pct"/>
            <w:noWrap/>
            <w:hideMark/>
          </w:tcPr>
          <w:p w14:paraId="0777E91C"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2.729</w:t>
            </w:r>
          </w:p>
        </w:tc>
        <w:tc>
          <w:tcPr>
            <w:tcW w:w="721" w:type="pct"/>
            <w:noWrap/>
            <w:hideMark/>
          </w:tcPr>
          <w:p w14:paraId="1E369A29"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3.219</w:t>
            </w:r>
          </w:p>
        </w:tc>
        <w:tc>
          <w:tcPr>
            <w:tcW w:w="673" w:type="pct"/>
            <w:noWrap/>
            <w:hideMark/>
          </w:tcPr>
          <w:p w14:paraId="2FC4D935"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3.023</w:t>
            </w:r>
          </w:p>
        </w:tc>
        <w:tc>
          <w:tcPr>
            <w:tcW w:w="721" w:type="pct"/>
            <w:noWrap/>
            <w:hideMark/>
          </w:tcPr>
          <w:p w14:paraId="2DCD9694"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2.159</w:t>
            </w:r>
          </w:p>
        </w:tc>
        <w:tc>
          <w:tcPr>
            <w:tcW w:w="625" w:type="pct"/>
            <w:noWrap/>
            <w:hideMark/>
          </w:tcPr>
          <w:p w14:paraId="43167AD1"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3.592</w:t>
            </w:r>
          </w:p>
        </w:tc>
        <w:tc>
          <w:tcPr>
            <w:tcW w:w="529" w:type="pct"/>
            <w:noWrap/>
            <w:hideMark/>
          </w:tcPr>
          <w:p w14:paraId="50726F9A" w14:textId="77777777" w:rsidR="003E5B95" w:rsidRPr="003E0C65"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3.410</w:t>
            </w:r>
          </w:p>
        </w:tc>
      </w:tr>
      <w:tr w:rsidR="003E5B95" w:rsidRPr="003E0C65" w14:paraId="67120D6F"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625" w:type="pct"/>
            <w:tcBorders>
              <w:bottom w:val="single" w:sz="4" w:space="0" w:color="auto"/>
              <w:right w:val="single" w:sz="4" w:space="0" w:color="auto"/>
            </w:tcBorders>
          </w:tcPr>
          <w:p w14:paraId="45D2D26E" w14:textId="77777777" w:rsidR="003E5B95" w:rsidRPr="003E0C65" w:rsidRDefault="003E5B95" w:rsidP="003E5B95">
            <w:pPr>
              <w:spacing w:line="240" w:lineRule="auto"/>
              <w:ind w:firstLine="0"/>
              <w:contextualSpacing w:val="0"/>
              <w:rPr>
                <w:rFonts w:eastAsia="Times New Roman" w:cs="Times New Roman"/>
                <w:b w:val="0"/>
                <w:bCs w:val="0"/>
                <w:kern w:val="0"/>
                <w:sz w:val="21"/>
                <w:szCs w:val="21"/>
                <w:lang w:eastAsia="en-US"/>
              </w:rPr>
            </w:pPr>
            <w:r w:rsidRPr="003E0C65">
              <w:rPr>
                <w:rFonts w:eastAsia="Times New Roman" w:cs="Times New Roman"/>
                <w:b w:val="0"/>
                <w:bCs w:val="0"/>
                <w:kern w:val="0"/>
                <w:sz w:val="21"/>
                <w:szCs w:val="21"/>
                <w:lang w:eastAsia="en-US"/>
              </w:rPr>
              <w:t xml:space="preserve">Reliability </w:t>
            </w:r>
          </w:p>
        </w:tc>
        <w:tc>
          <w:tcPr>
            <w:tcW w:w="481" w:type="pct"/>
            <w:tcBorders>
              <w:left w:val="single" w:sz="4" w:space="0" w:color="auto"/>
              <w:bottom w:val="single" w:sz="4" w:space="0" w:color="auto"/>
            </w:tcBorders>
            <w:noWrap/>
          </w:tcPr>
          <w:p w14:paraId="43DF9A1B"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.808</w:t>
            </w:r>
          </w:p>
        </w:tc>
        <w:tc>
          <w:tcPr>
            <w:tcW w:w="625" w:type="pct"/>
            <w:tcBorders>
              <w:bottom w:val="single" w:sz="4" w:space="0" w:color="auto"/>
            </w:tcBorders>
            <w:noWrap/>
          </w:tcPr>
          <w:p w14:paraId="7427D6F8"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.736</w:t>
            </w:r>
          </w:p>
        </w:tc>
        <w:tc>
          <w:tcPr>
            <w:tcW w:w="721" w:type="pct"/>
            <w:tcBorders>
              <w:bottom w:val="single" w:sz="4" w:space="0" w:color="auto"/>
            </w:tcBorders>
            <w:noWrap/>
          </w:tcPr>
          <w:p w14:paraId="376EEE24"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.783</w:t>
            </w:r>
          </w:p>
        </w:tc>
        <w:tc>
          <w:tcPr>
            <w:tcW w:w="673" w:type="pct"/>
            <w:tcBorders>
              <w:bottom w:val="single" w:sz="4" w:space="0" w:color="auto"/>
            </w:tcBorders>
            <w:noWrap/>
          </w:tcPr>
          <w:p w14:paraId="35B2B345"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.854</w:t>
            </w:r>
          </w:p>
        </w:tc>
        <w:tc>
          <w:tcPr>
            <w:tcW w:w="721" w:type="pct"/>
            <w:tcBorders>
              <w:bottom w:val="single" w:sz="4" w:space="0" w:color="auto"/>
            </w:tcBorders>
            <w:noWrap/>
          </w:tcPr>
          <w:p w14:paraId="23942FE4"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.786</w:t>
            </w:r>
          </w:p>
        </w:tc>
        <w:tc>
          <w:tcPr>
            <w:tcW w:w="625" w:type="pct"/>
            <w:tcBorders>
              <w:bottom w:val="single" w:sz="4" w:space="0" w:color="auto"/>
            </w:tcBorders>
            <w:noWrap/>
          </w:tcPr>
          <w:p w14:paraId="06FDFECB"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.852</w:t>
            </w:r>
          </w:p>
        </w:tc>
        <w:tc>
          <w:tcPr>
            <w:tcW w:w="529" w:type="pct"/>
            <w:tcBorders>
              <w:bottom w:val="single" w:sz="4" w:space="0" w:color="auto"/>
            </w:tcBorders>
            <w:noWrap/>
          </w:tcPr>
          <w:p w14:paraId="592477BA" w14:textId="77777777" w:rsidR="003E5B95" w:rsidRPr="003E0C65"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 w:val="21"/>
                <w:szCs w:val="21"/>
                <w:lang w:eastAsia="en-US"/>
              </w:rPr>
            </w:pPr>
            <w:r w:rsidRPr="003E0C65">
              <w:rPr>
                <w:rFonts w:eastAsia="Times New Roman" w:cs="Times New Roman"/>
                <w:kern w:val="0"/>
                <w:sz w:val="21"/>
                <w:szCs w:val="21"/>
                <w:lang w:eastAsia="en-US"/>
              </w:rPr>
              <w:t>.783</w:t>
            </w:r>
          </w:p>
        </w:tc>
      </w:tr>
    </w:tbl>
    <w:p w14:paraId="3A9A469F" w14:textId="77777777" w:rsidR="003E5B95" w:rsidRPr="008A6A6E" w:rsidRDefault="003E5B95" w:rsidP="003E5B95">
      <w:pPr>
        <w:spacing w:line="240" w:lineRule="auto"/>
        <w:ind w:firstLine="0"/>
        <w:contextualSpacing w:val="0"/>
        <w:rPr>
          <w:rFonts w:eastAsia="Times New Roman" w:cs="Times New Roman"/>
          <w:color w:val="000000"/>
          <w:kern w:val="0"/>
          <w:szCs w:val="24"/>
          <w:lang w:eastAsia="en-US"/>
        </w:rPr>
      </w:pPr>
      <w:r w:rsidRPr="008A6A6E">
        <w:rPr>
          <w:rFonts w:eastAsia="Times New Roman" w:cs="Times New Roman"/>
          <w:color w:val="000000"/>
          <w:kern w:val="0"/>
          <w:szCs w:val="24"/>
          <w:lang w:eastAsia="en-US"/>
        </w:rPr>
        <w:t>Standard Deviation (S.D.); Usefulness (USE); Interoperability (INTEROP); False Negative (FALSENEG); False Positive (FALSEPOS); Complexity (COMPLEX); Security Climate (SECCLI); Relevance (REL)</w:t>
      </w:r>
    </w:p>
    <w:p w14:paraId="4B941FCC" w14:textId="77777777" w:rsidR="003E5B95" w:rsidRDefault="003E5B95" w:rsidP="003E5B95">
      <w:pPr>
        <w:pStyle w:val="Caption"/>
        <w:keepNext/>
      </w:pPr>
    </w:p>
    <w:p w14:paraId="0C94AD61" w14:textId="77777777" w:rsidR="003E5B95" w:rsidRPr="00B54F4D" w:rsidRDefault="003E5B95" w:rsidP="003E5B95">
      <w:pPr>
        <w:pStyle w:val="Caption"/>
        <w:keepNext/>
        <w:spacing w:line="480" w:lineRule="auto"/>
        <w:rPr>
          <w:sz w:val="24"/>
          <w:szCs w:val="24"/>
        </w:rPr>
      </w:pPr>
      <w:bookmarkStart w:id="322" w:name="_Toc73955273"/>
      <w:bookmarkStart w:id="323" w:name="_Toc74074434"/>
      <w:r w:rsidRPr="00B54F4D">
        <w:rPr>
          <w:sz w:val="24"/>
          <w:szCs w:val="24"/>
        </w:rPr>
        <w:t>Table K2</w:t>
      </w:r>
    </w:p>
    <w:p w14:paraId="3ECC14AA" w14:textId="77777777" w:rsidR="003E5B95" w:rsidRPr="00B54F4D" w:rsidRDefault="003E5B95" w:rsidP="003E5B95">
      <w:pPr>
        <w:pStyle w:val="Caption"/>
        <w:keepNext/>
        <w:spacing w:line="480" w:lineRule="auto"/>
        <w:rPr>
          <w:b w:val="0"/>
          <w:bCs/>
          <w:i/>
          <w:iCs w:val="0"/>
          <w:sz w:val="24"/>
          <w:szCs w:val="24"/>
        </w:rPr>
      </w:pPr>
      <w:bookmarkStart w:id="324" w:name="_Toc73917993"/>
      <w:r w:rsidRPr="00B54F4D">
        <w:rPr>
          <w:b w:val="0"/>
          <w:bCs/>
          <w:i/>
          <w:iCs w:val="0"/>
          <w:sz w:val="24"/>
          <w:szCs w:val="24"/>
        </w:rPr>
        <w:t>Survey Participants' Personality Makeup</w:t>
      </w:r>
      <w:bookmarkEnd w:id="322"/>
      <w:bookmarkEnd w:id="323"/>
      <w:bookmarkEnd w:id="324"/>
    </w:p>
    <w:tbl>
      <w:tblPr>
        <w:tblStyle w:val="PlainTable4"/>
        <w:tblW w:w="5000" w:type="pct"/>
        <w:tblLook w:val="04A0" w:firstRow="1" w:lastRow="0" w:firstColumn="1" w:lastColumn="0" w:noHBand="0" w:noVBand="1"/>
      </w:tblPr>
      <w:tblGrid>
        <w:gridCol w:w="2705"/>
        <w:gridCol w:w="1331"/>
        <w:gridCol w:w="1331"/>
        <w:gridCol w:w="1331"/>
        <w:gridCol w:w="1331"/>
        <w:gridCol w:w="1331"/>
      </w:tblGrid>
      <w:tr w:rsidR="003E5B95" w:rsidRPr="008A6A6E" w14:paraId="0B05F97F" w14:textId="77777777" w:rsidTr="003E5B95">
        <w:trPr>
          <w:cnfStyle w:val="100000000000" w:firstRow="1" w:lastRow="0" w:firstColumn="0" w:lastColumn="0" w:oddVBand="0" w:evenVBand="0" w:oddHBand="0"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335" w:type="pct"/>
            <w:tcBorders>
              <w:top w:val="single" w:sz="4" w:space="0" w:color="auto"/>
              <w:bottom w:val="single" w:sz="4" w:space="0" w:color="auto"/>
              <w:right w:val="single" w:sz="4" w:space="0" w:color="auto"/>
            </w:tcBorders>
            <w:hideMark/>
          </w:tcPr>
          <w:p w14:paraId="3641A0F7"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Statistics</w:t>
            </w:r>
          </w:p>
        </w:tc>
        <w:tc>
          <w:tcPr>
            <w:tcW w:w="733" w:type="pct"/>
            <w:tcBorders>
              <w:top w:val="single" w:sz="4" w:space="0" w:color="auto"/>
              <w:left w:val="single" w:sz="4" w:space="0" w:color="auto"/>
              <w:bottom w:val="single" w:sz="4" w:space="0" w:color="auto"/>
            </w:tcBorders>
            <w:hideMark/>
          </w:tcPr>
          <w:p w14:paraId="0EC8EA17"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AGR</w:t>
            </w:r>
          </w:p>
        </w:tc>
        <w:tc>
          <w:tcPr>
            <w:tcW w:w="733" w:type="pct"/>
            <w:tcBorders>
              <w:top w:val="single" w:sz="4" w:space="0" w:color="auto"/>
              <w:bottom w:val="single" w:sz="4" w:space="0" w:color="auto"/>
            </w:tcBorders>
            <w:hideMark/>
          </w:tcPr>
          <w:p w14:paraId="4CC93D56"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EXT</w:t>
            </w:r>
          </w:p>
        </w:tc>
        <w:tc>
          <w:tcPr>
            <w:tcW w:w="733" w:type="pct"/>
            <w:tcBorders>
              <w:top w:val="single" w:sz="4" w:space="0" w:color="auto"/>
              <w:bottom w:val="single" w:sz="4" w:space="0" w:color="auto"/>
            </w:tcBorders>
            <w:hideMark/>
          </w:tcPr>
          <w:p w14:paraId="5F42E2EF"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CON</w:t>
            </w:r>
          </w:p>
        </w:tc>
        <w:tc>
          <w:tcPr>
            <w:tcW w:w="733" w:type="pct"/>
            <w:tcBorders>
              <w:top w:val="single" w:sz="4" w:space="0" w:color="auto"/>
              <w:bottom w:val="single" w:sz="4" w:space="0" w:color="auto"/>
            </w:tcBorders>
            <w:hideMark/>
          </w:tcPr>
          <w:p w14:paraId="2408CABC"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NEG</w:t>
            </w:r>
          </w:p>
        </w:tc>
        <w:tc>
          <w:tcPr>
            <w:tcW w:w="733" w:type="pct"/>
            <w:tcBorders>
              <w:top w:val="single" w:sz="4" w:space="0" w:color="auto"/>
              <w:bottom w:val="single" w:sz="4" w:space="0" w:color="auto"/>
            </w:tcBorders>
            <w:hideMark/>
          </w:tcPr>
          <w:p w14:paraId="005654F5" w14:textId="77777777" w:rsidR="003E5B95" w:rsidRPr="008A6A6E" w:rsidRDefault="003E5B95" w:rsidP="003E5B95">
            <w:pPr>
              <w:spacing w:line="240" w:lineRule="auto"/>
              <w:ind w:firstLine="0"/>
              <w:contextualSpacing w:val="0"/>
              <w:cnfStyle w:val="100000000000" w:firstRow="1" w:lastRow="0" w:firstColumn="0" w:lastColumn="0" w:oddVBand="0" w:evenVBand="0" w:oddHBand="0" w:evenHBand="0" w:firstRowFirstColumn="0" w:firstRowLastColumn="0" w:lastRowFirstColumn="0" w:lastRowLastColumn="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OPEN</w:t>
            </w:r>
          </w:p>
        </w:tc>
      </w:tr>
      <w:tr w:rsidR="003E5B95" w:rsidRPr="008A6A6E" w14:paraId="2EEFC1D7"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335" w:type="pct"/>
            <w:tcBorders>
              <w:top w:val="single" w:sz="4" w:space="0" w:color="auto"/>
              <w:right w:val="single" w:sz="4" w:space="0" w:color="auto"/>
            </w:tcBorders>
            <w:hideMark/>
          </w:tcPr>
          <w:p w14:paraId="7F414358"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Mean</w:t>
            </w:r>
          </w:p>
        </w:tc>
        <w:tc>
          <w:tcPr>
            <w:tcW w:w="733" w:type="pct"/>
            <w:tcBorders>
              <w:top w:val="single" w:sz="4" w:space="0" w:color="auto"/>
              <w:left w:val="single" w:sz="4" w:space="0" w:color="auto"/>
            </w:tcBorders>
            <w:noWrap/>
            <w:hideMark/>
          </w:tcPr>
          <w:p w14:paraId="05C176C2"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23.861</w:t>
            </w:r>
          </w:p>
        </w:tc>
        <w:tc>
          <w:tcPr>
            <w:tcW w:w="733" w:type="pct"/>
            <w:tcBorders>
              <w:top w:val="single" w:sz="4" w:space="0" w:color="auto"/>
            </w:tcBorders>
            <w:noWrap/>
            <w:hideMark/>
          </w:tcPr>
          <w:p w14:paraId="69F5951D"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18.940</w:t>
            </w:r>
          </w:p>
        </w:tc>
        <w:tc>
          <w:tcPr>
            <w:tcW w:w="733" w:type="pct"/>
            <w:tcBorders>
              <w:top w:val="single" w:sz="4" w:space="0" w:color="auto"/>
            </w:tcBorders>
            <w:noWrap/>
            <w:hideMark/>
          </w:tcPr>
          <w:p w14:paraId="0D6672E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21.790</w:t>
            </w:r>
          </w:p>
        </w:tc>
        <w:tc>
          <w:tcPr>
            <w:tcW w:w="733" w:type="pct"/>
            <w:tcBorders>
              <w:top w:val="single" w:sz="4" w:space="0" w:color="auto"/>
            </w:tcBorders>
            <w:noWrap/>
            <w:hideMark/>
          </w:tcPr>
          <w:p w14:paraId="2E53851A"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13.116</w:t>
            </w:r>
          </w:p>
        </w:tc>
        <w:tc>
          <w:tcPr>
            <w:tcW w:w="733" w:type="pct"/>
            <w:tcBorders>
              <w:top w:val="single" w:sz="4" w:space="0" w:color="auto"/>
            </w:tcBorders>
            <w:noWrap/>
            <w:hideMark/>
          </w:tcPr>
          <w:p w14:paraId="5526073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22.142</w:t>
            </w:r>
          </w:p>
        </w:tc>
      </w:tr>
      <w:tr w:rsidR="003E5B95" w:rsidRPr="008A6A6E" w14:paraId="1530FCCD"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1335" w:type="pct"/>
            <w:tcBorders>
              <w:right w:val="single" w:sz="4" w:space="0" w:color="auto"/>
            </w:tcBorders>
            <w:hideMark/>
          </w:tcPr>
          <w:p w14:paraId="3EEC2E6C"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S.D.</w:t>
            </w:r>
          </w:p>
        </w:tc>
        <w:tc>
          <w:tcPr>
            <w:tcW w:w="733" w:type="pct"/>
            <w:tcBorders>
              <w:left w:val="single" w:sz="4" w:space="0" w:color="auto"/>
            </w:tcBorders>
            <w:noWrap/>
            <w:hideMark/>
          </w:tcPr>
          <w:p w14:paraId="05BDAC7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4.162</w:t>
            </w:r>
          </w:p>
        </w:tc>
        <w:tc>
          <w:tcPr>
            <w:tcW w:w="733" w:type="pct"/>
            <w:noWrap/>
            <w:hideMark/>
          </w:tcPr>
          <w:p w14:paraId="588F2DA5"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3.433</w:t>
            </w:r>
          </w:p>
        </w:tc>
        <w:tc>
          <w:tcPr>
            <w:tcW w:w="733" w:type="pct"/>
            <w:noWrap/>
            <w:hideMark/>
          </w:tcPr>
          <w:p w14:paraId="07D704E9"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3.676</w:t>
            </w:r>
          </w:p>
        </w:tc>
        <w:tc>
          <w:tcPr>
            <w:tcW w:w="733" w:type="pct"/>
            <w:noWrap/>
            <w:hideMark/>
          </w:tcPr>
          <w:p w14:paraId="5EE41CA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4.528</w:t>
            </w:r>
          </w:p>
        </w:tc>
        <w:tc>
          <w:tcPr>
            <w:tcW w:w="733" w:type="pct"/>
            <w:noWrap/>
            <w:hideMark/>
          </w:tcPr>
          <w:p w14:paraId="702D4EB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4.024</w:t>
            </w:r>
          </w:p>
        </w:tc>
      </w:tr>
      <w:tr w:rsidR="003E5B95" w:rsidRPr="008A6A6E" w14:paraId="6A0BB54D"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335" w:type="pct"/>
            <w:tcBorders>
              <w:right w:val="single" w:sz="4" w:space="0" w:color="auto"/>
            </w:tcBorders>
            <w:hideMark/>
          </w:tcPr>
          <w:p w14:paraId="135EFAF3"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Median</w:t>
            </w:r>
          </w:p>
        </w:tc>
        <w:tc>
          <w:tcPr>
            <w:tcW w:w="733" w:type="pct"/>
            <w:tcBorders>
              <w:left w:val="single" w:sz="4" w:space="0" w:color="auto"/>
            </w:tcBorders>
            <w:noWrap/>
            <w:hideMark/>
          </w:tcPr>
          <w:p w14:paraId="3DCDF1C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24.000</w:t>
            </w:r>
          </w:p>
        </w:tc>
        <w:tc>
          <w:tcPr>
            <w:tcW w:w="733" w:type="pct"/>
            <w:noWrap/>
            <w:hideMark/>
          </w:tcPr>
          <w:p w14:paraId="20C12D4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19.000</w:t>
            </w:r>
          </w:p>
        </w:tc>
        <w:tc>
          <w:tcPr>
            <w:tcW w:w="733" w:type="pct"/>
            <w:noWrap/>
            <w:hideMark/>
          </w:tcPr>
          <w:p w14:paraId="2DF3737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22.000</w:t>
            </w:r>
          </w:p>
        </w:tc>
        <w:tc>
          <w:tcPr>
            <w:tcW w:w="733" w:type="pct"/>
            <w:noWrap/>
            <w:hideMark/>
          </w:tcPr>
          <w:p w14:paraId="6FA127D7"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13.000</w:t>
            </w:r>
          </w:p>
        </w:tc>
        <w:tc>
          <w:tcPr>
            <w:tcW w:w="733" w:type="pct"/>
            <w:noWrap/>
            <w:hideMark/>
          </w:tcPr>
          <w:p w14:paraId="1482693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22.000</w:t>
            </w:r>
          </w:p>
        </w:tc>
      </w:tr>
      <w:tr w:rsidR="003E5B95" w:rsidRPr="008A6A6E" w14:paraId="0A1724FC"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1335" w:type="pct"/>
            <w:tcBorders>
              <w:right w:val="single" w:sz="4" w:space="0" w:color="auto"/>
            </w:tcBorders>
            <w:hideMark/>
          </w:tcPr>
          <w:p w14:paraId="5E374601"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Mode</w:t>
            </w:r>
          </w:p>
        </w:tc>
        <w:tc>
          <w:tcPr>
            <w:tcW w:w="733" w:type="pct"/>
            <w:tcBorders>
              <w:left w:val="single" w:sz="4" w:space="0" w:color="auto"/>
            </w:tcBorders>
            <w:noWrap/>
            <w:hideMark/>
          </w:tcPr>
          <w:p w14:paraId="098577F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25.000</w:t>
            </w:r>
          </w:p>
        </w:tc>
        <w:tc>
          <w:tcPr>
            <w:tcW w:w="733" w:type="pct"/>
            <w:noWrap/>
            <w:hideMark/>
          </w:tcPr>
          <w:p w14:paraId="605741C0"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18.000</w:t>
            </w:r>
          </w:p>
        </w:tc>
        <w:tc>
          <w:tcPr>
            <w:tcW w:w="733" w:type="pct"/>
            <w:noWrap/>
            <w:hideMark/>
          </w:tcPr>
          <w:p w14:paraId="0E823D7E"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26.000</w:t>
            </w:r>
          </w:p>
        </w:tc>
        <w:tc>
          <w:tcPr>
            <w:tcW w:w="733" w:type="pct"/>
            <w:noWrap/>
            <w:hideMark/>
          </w:tcPr>
          <w:p w14:paraId="357DBCFA"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14.000</w:t>
            </w:r>
          </w:p>
        </w:tc>
        <w:tc>
          <w:tcPr>
            <w:tcW w:w="733" w:type="pct"/>
            <w:noWrap/>
            <w:hideMark/>
          </w:tcPr>
          <w:p w14:paraId="33C7911F"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18.000</w:t>
            </w:r>
          </w:p>
        </w:tc>
      </w:tr>
      <w:tr w:rsidR="003E5B95" w:rsidRPr="008A6A6E" w14:paraId="30A1A5FF"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335" w:type="pct"/>
            <w:tcBorders>
              <w:right w:val="single" w:sz="4" w:space="0" w:color="auto"/>
            </w:tcBorders>
            <w:hideMark/>
          </w:tcPr>
          <w:p w14:paraId="34F29F67"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Minimum</w:t>
            </w:r>
          </w:p>
        </w:tc>
        <w:tc>
          <w:tcPr>
            <w:tcW w:w="733" w:type="pct"/>
            <w:tcBorders>
              <w:left w:val="single" w:sz="4" w:space="0" w:color="auto"/>
            </w:tcBorders>
            <w:noWrap/>
            <w:hideMark/>
          </w:tcPr>
          <w:p w14:paraId="5ADA13A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12.000</w:t>
            </w:r>
          </w:p>
        </w:tc>
        <w:tc>
          <w:tcPr>
            <w:tcW w:w="733" w:type="pct"/>
            <w:noWrap/>
            <w:hideMark/>
          </w:tcPr>
          <w:p w14:paraId="7B31A4D8"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8.000</w:t>
            </w:r>
          </w:p>
        </w:tc>
        <w:tc>
          <w:tcPr>
            <w:tcW w:w="733" w:type="pct"/>
            <w:noWrap/>
            <w:hideMark/>
          </w:tcPr>
          <w:p w14:paraId="3A8DD9D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12.000</w:t>
            </w:r>
          </w:p>
        </w:tc>
        <w:tc>
          <w:tcPr>
            <w:tcW w:w="733" w:type="pct"/>
            <w:noWrap/>
            <w:hideMark/>
          </w:tcPr>
          <w:p w14:paraId="6EEC0CF6"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6.000</w:t>
            </w:r>
          </w:p>
        </w:tc>
        <w:tc>
          <w:tcPr>
            <w:tcW w:w="733" w:type="pct"/>
            <w:noWrap/>
            <w:hideMark/>
          </w:tcPr>
          <w:p w14:paraId="70BA281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12.000</w:t>
            </w:r>
          </w:p>
        </w:tc>
      </w:tr>
      <w:tr w:rsidR="003E5B95" w:rsidRPr="008A6A6E" w14:paraId="0A251C5B" w14:textId="77777777" w:rsidTr="003E5B95">
        <w:trPr>
          <w:trHeight w:val="360"/>
        </w:trPr>
        <w:tc>
          <w:tcPr>
            <w:cnfStyle w:val="001000000000" w:firstRow="0" w:lastRow="0" w:firstColumn="1" w:lastColumn="0" w:oddVBand="0" w:evenVBand="0" w:oddHBand="0" w:evenHBand="0" w:firstRowFirstColumn="0" w:firstRowLastColumn="0" w:lastRowFirstColumn="0" w:lastRowLastColumn="0"/>
            <w:tcW w:w="1335" w:type="pct"/>
            <w:tcBorders>
              <w:right w:val="single" w:sz="4" w:space="0" w:color="auto"/>
            </w:tcBorders>
            <w:hideMark/>
          </w:tcPr>
          <w:p w14:paraId="4469E9CC"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Maximum</w:t>
            </w:r>
          </w:p>
        </w:tc>
        <w:tc>
          <w:tcPr>
            <w:tcW w:w="733" w:type="pct"/>
            <w:tcBorders>
              <w:left w:val="single" w:sz="4" w:space="0" w:color="auto"/>
            </w:tcBorders>
            <w:noWrap/>
            <w:hideMark/>
          </w:tcPr>
          <w:p w14:paraId="2E3B1FDC"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30.000</w:t>
            </w:r>
          </w:p>
        </w:tc>
        <w:tc>
          <w:tcPr>
            <w:tcW w:w="733" w:type="pct"/>
            <w:noWrap/>
            <w:hideMark/>
          </w:tcPr>
          <w:p w14:paraId="2D421237"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25.000</w:t>
            </w:r>
          </w:p>
        </w:tc>
        <w:tc>
          <w:tcPr>
            <w:tcW w:w="733" w:type="pct"/>
            <w:noWrap/>
            <w:hideMark/>
          </w:tcPr>
          <w:p w14:paraId="5AC192E8"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27.000</w:t>
            </w:r>
          </w:p>
        </w:tc>
        <w:tc>
          <w:tcPr>
            <w:tcW w:w="733" w:type="pct"/>
            <w:noWrap/>
            <w:hideMark/>
          </w:tcPr>
          <w:p w14:paraId="4F2DC0B2"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29.000</w:t>
            </w:r>
          </w:p>
        </w:tc>
        <w:tc>
          <w:tcPr>
            <w:tcW w:w="733" w:type="pct"/>
            <w:noWrap/>
            <w:hideMark/>
          </w:tcPr>
          <w:p w14:paraId="29465484" w14:textId="77777777" w:rsidR="003E5B95" w:rsidRPr="008A6A6E" w:rsidRDefault="003E5B95" w:rsidP="003E5B95">
            <w:pPr>
              <w:spacing w:line="240" w:lineRule="auto"/>
              <w:ind w:firstLine="0"/>
              <w:contextualSpacing w:val="0"/>
              <w:cnfStyle w:val="000000000000" w:firstRow="0" w:lastRow="0" w:firstColumn="0" w:lastColumn="0" w:oddVBand="0" w:evenVBand="0" w:oddHBand="0" w:evenHBand="0" w:firstRowFirstColumn="0" w:firstRowLastColumn="0" w:lastRowFirstColumn="0" w:lastRowLastColumn="0"/>
              <w:rPr>
                <w:rFonts w:eastAsia="Times New Roman" w:cs="Times New Roman"/>
                <w:kern w:val="0"/>
                <w:szCs w:val="24"/>
                <w:lang w:eastAsia="en-US"/>
              </w:rPr>
            </w:pPr>
            <w:r w:rsidRPr="008A6A6E">
              <w:rPr>
                <w:rFonts w:eastAsia="Times New Roman" w:cs="Times New Roman"/>
                <w:kern w:val="0"/>
                <w:szCs w:val="24"/>
                <w:lang w:eastAsia="en-US"/>
              </w:rPr>
              <w:t>30.000</w:t>
            </w:r>
          </w:p>
        </w:tc>
      </w:tr>
      <w:tr w:rsidR="003E5B95" w:rsidRPr="008A6A6E" w14:paraId="1C6ECFC0" w14:textId="77777777" w:rsidTr="003E5B95">
        <w:trPr>
          <w:cnfStyle w:val="000000100000" w:firstRow="0" w:lastRow="0" w:firstColumn="0" w:lastColumn="0" w:oddVBand="0" w:evenVBand="0" w:oddHBand="1" w:evenHBand="0" w:firstRowFirstColumn="0" w:firstRowLastColumn="0" w:lastRowFirstColumn="0" w:lastRowLastColumn="0"/>
          <w:trHeight w:val="360"/>
        </w:trPr>
        <w:tc>
          <w:tcPr>
            <w:cnfStyle w:val="001000000000" w:firstRow="0" w:lastRow="0" w:firstColumn="1" w:lastColumn="0" w:oddVBand="0" w:evenVBand="0" w:oddHBand="0" w:evenHBand="0" w:firstRowFirstColumn="0" w:firstRowLastColumn="0" w:lastRowFirstColumn="0" w:lastRowLastColumn="0"/>
            <w:tcW w:w="1335" w:type="pct"/>
            <w:tcBorders>
              <w:bottom w:val="single" w:sz="4" w:space="0" w:color="auto"/>
              <w:right w:val="single" w:sz="4" w:space="0" w:color="auto"/>
            </w:tcBorders>
            <w:noWrap/>
            <w:hideMark/>
          </w:tcPr>
          <w:p w14:paraId="4CBD7EB6" w14:textId="77777777" w:rsidR="003E5B95" w:rsidRPr="008A6A6E" w:rsidRDefault="003E5B95" w:rsidP="003E5B95">
            <w:pPr>
              <w:spacing w:line="240" w:lineRule="auto"/>
              <w:ind w:firstLine="0"/>
              <w:contextualSpacing w:val="0"/>
              <w:rPr>
                <w:rFonts w:eastAsia="Times New Roman" w:cs="Times New Roman"/>
                <w:b w:val="0"/>
                <w:bCs w:val="0"/>
                <w:kern w:val="0"/>
                <w:szCs w:val="24"/>
                <w:lang w:eastAsia="en-US"/>
              </w:rPr>
            </w:pPr>
            <w:r w:rsidRPr="008A6A6E">
              <w:rPr>
                <w:rFonts w:eastAsia="Times New Roman" w:cs="Times New Roman"/>
                <w:b w:val="0"/>
                <w:bCs w:val="0"/>
                <w:kern w:val="0"/>
                <w:szCs w:val="24"/>
                <w:lang w:eastAsia="en-US"/>
              </w:rPr>
              <w:t>Reliability (</w:t>
            </w:r>
            <w:r w:rsidRPr="008A6A6E">
              <w:rPr>
                <w:rFonts w:eastAsia="Times New Roman" w:cs="Times New Roman"/>
                <w:b w:val="0"/>
                <w:bCs w:val="0"/>
                <w:color w:val="000000"/>
                <w:kern w:val="0"/>
                <w:szCs w:val="24"/>
                <w:lang w:eastAsia="en-US"/>
              </w:rPr>
              <w:t xml:space="preserve">Cronbach's </w:t>
            </w:r>
            <w:r w:rsidRPr="008A6A6E">
              <w:rPr>
                <w:rFonts w:eastAsia="Times New Roman" w:cs="Times New Roman"/>
                <w:b w:val="0"/>
                <w:bCs w:val="0"/>
                <w:kern w:val="0"/>
                <w:szCs w:val="24"/>
                <w:lang w:eastAsia="en-US"/>
              </w:rPr>
              <w:t>α)</w:t>
            </w:r>
          </w:p>
        </w:tc>
        <w:tc>
          <w:tcPr>
            <w:tcW w:w="733" w:type="pct"/>
            <w:tcBorders>
              <w:left w:val="single" w:sz="4" w:space="0" w:color="auto"/>
              <w:bottom w:val="single" w:sz="4" w:space="0" w:color="auto"/>
            </w:tcBorders>
            <w:noWrap/>
            <w:hideMark/>
          </w:tcPr>
          <w:p w14:paraId="1CB2FA0A"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0.738</w:t>
            </w:r>
          </w:p>
        </w:tc>
        <w:tc>
          <w:tcPr>
            <w:tcW w:w="733" w:type="pct"/>
            <w:tcBorders>
              <w:bottom w:val="single" w:sz="4" w:space="0" w:color="auto"/>
            </w:tcBorders>
            <w:noWrap/>
            <w:hideMark/>
          </w:tcPr>
          <w:p w14:paraId="192F1705"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0.611</w:t>
            </w:r>
          </w:p>
        </w:tc>
        <w:tc>
          <w:tcPr>
            <w:tcW w:w="733" w:type="pct"/>
            <w:tcBorders>
              <w:bottom w:val="single" w:sz="4" w:space="0" w:color="auto"/>
            </w:tcBorders>
            <w:noWrap/>
            <w:hideMark/>
          </w:tcPr>
          <w:p w14:paraId="3E92D5EF"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0.608</w:t>
            </w:r>
          </w:p>
        </w:tc>
        <w:tc>
          <w:tcPr>
            <w:tcW w:w="733" w:type="pct"/>
            <w:tcBorders>
              <w:bottom w:val="single" w:sz="4" w:space="0" w:color="auto"/>
            </w:tcBorders>
            <w:noWrap/>
            <w:hideMark/>
          </w:tcPr>
          <w:p w14:paraId="222617BB"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0.742</w:t>
            </w:r>
          </w:p>
        </w:tc>
        <w:tc>
          <w:tcPr>
            <w:tcW w:w="733" w:type="pct"/>
            <w:tcBorders>
              <w:bottom w:val="single" w:sz="4" w:space="0" w:color="auto"/>
            </w:tcBorders>
            <w:noWrap/>
            <w:hideMark/>
          </w:tcPr>
          <w:p w14:paraId="2A69159C" w14:textId="77777777" w:rsidR="003E5B95" w:rsidRPr="008A6A6E" w:rsidRDefault="003E5B95" w:rsidP="003E5B95">
            <w:pPr>
              <w:spacing w:line="240" w:lineRule="auto"/>
              <w:ind w:firstLine="0"/>
              <w:contextualSpacing w:val="0"/>
              <w:cnfStyle w:val="000000100000" w:firstRow="0" w:lastRow="0" w:firstColumn="0" w:lastColumn="0" w:oddVBand="0" w:evenVBand="0" w:oddHBand="1" w:evenHBand="0" w:firstRowFirstColumn="0" w:firstRowLastColumn="0" w:lastRowFirstColumn="0" w:lastRowLastColumn="0"/>
              <w:rPr>
                <w:rFonts w:eastAsia="Times New Roman" w:cs="Times New Roman"/>
                <w:color w:val="000000"/>
                <w:kern w:val="0"/>
                <w:szCs w:val="24"/>
                <w:lang w:eastAsia="en-US"/>
              </w:rPr>
            </w:pPr>
            <w:r w:rsidRPr="008A6A6E">
              <w:rPr>
                <w:rFonts w:eastAsia="Times New Roman" w:cs="Times New Roman"/>
                <w:color w:val="000000"/>
                <w:kern w:val="0"/>
                <w:szCs w:val="24"/>
                <w:lang w:eastAsia="en-US"/>
              </w:rPr>
              <w:t>0.596</w:t>
            </w:r>
          </w:p>
        </w:tc>
      </w:tr>
    </w:tbl>
    <w:p w14:paraId="6224B690" w14:textId="4AB3598B" w:rsidR="003E5B95" w:rsidRPr="008A6A6E" w:rsidRDefault="003E5B95" w:rsidP="003E5B95">
      <w:pPr>
        <w:spacing w:line="240" w:lineRule="auto"/>
        <w:ind w:firstLine="0"/>
        <w:contextualSpacing w:val="0"/>
        <w:rPr>
          <w:rFonts w:eastAsia="Times New Roman" w:cs="Times New Roman"/>
          <w:color w:val="000000"/>
          <w:kern w:val="0"/>
          <w:szCs w:val="24"/>
          <w:lang w:eastAsia="en-US"/>
        </w:rPr>
      </w:pPr>
      <w:r w:rsidRPr="008A6A6E">
        <w:rPr>
          <w:rFonts w:eastAsia="Times New Roman" w:cs="Times New Roman"/>
          <w:color w:val="000000"/>
          <w:kern w:val="0"/>
          <w:szCs w:val="24"/>
          <w:lang w:eastAsia="en-US"/>
        </w:rPr>
        <w:t>Agreeableness (AGR); Conscientiousness (CON); Extraversion (EXT); Negative emotionality (NEG); Open-mindedness (OPEN); Standard Deviation (S</w:t>
      </w:r>
      <w:r w:rsidR="00C2409A">
        <w:rPr>
          <w:rFonts w:eastAsia="Times New Roman" w:cs="Times New Roman"/>
          <w:color w:val="000000"/>
          <w:kern w:val="0"/>
          <w:szCs w:val="24"/>
          <w:lang w:eastAsia="en-US"/>
        </w:rPr>
        <w:t>.</w:t>
      </w:r>
      <w:r w:rsidRPr="008A6A6E">
        <w:rPr>
          <w:rFonts w:eastAsia="Times New Roman" w:cs="Times New Roman"/>
          <w:color w:val="000000"/>
          <w:kern w:val="0"/>
          <w:szCs w:val="24"/>
          <w:lang w:eastAsia="en-US"/>
        </w:rPr>
        <w:t>D</w:t>
      </w:r>
      <w:r w:rsidR="00C2409A">
        <w:rPr>
          <w:rFonts w:eastAsia="Times New Roman" w:cs="Times New Roman"/>
          <w:color w:val="000000"/>
          <w:kern w:val="0"/>
          <w:szCs w:val="24"/>
          <w:lang w:eastAsia="en-US"/>
        </w:rPr>
        <w:t>.</w:t>
      </w:r>
      <w:r w:rsidRPr="008A6A6E">
        <w:rPr>
          <w:rFonts w:eastAsia="Times New Roman" w:cs="Times New Roman"/>
          <w:color w:val="000000"/>
          <w:kern w:val="0"/>
          <w:szCs w:val="24"/>
          <w:lang w:eastAsia="en-US"/>
        </w:rPr>
        <w:t>)</w:t>
      </w:r>
    </w:p>
    <w:p w14:paraId="357CACE5" w14:textId="77777777" w:rsidR="003E5B95" w:rsidRPr="003E0C65" w:rsidRDefault="003E5B95" w:rsidP="003E5B95">
      <w:pPr>
        <w:spacing w:line="240" w:lineRule="auto"/>
        <w:ind w:firstLine="0"/>
        <w:contextualSpacing w:val="0"/>
        <w:rPr>
          <w:rFonts w:cs="Times New Roman"/>
          <w:b/>
          <w:bCs/>
          <w:kern w:val="0"/>
          <w:sz w:val="22"/>
          <w:szCs w:val="22"/>
          <w:lang w:eastAsia="en-US"/>
        </w:rPr>
      </w:pPr>
    </w:p>
    <w:p w14:paraId="0B01AD54" w14:textId="77777777" w:rsidR="003E5B95" w:rsidRDefault="003E5B95">
      <w:pPr>
        <w:spacing w:after="160" w:line="259" w:lineRule="auto"/>
        <w:ind w:firstLine="0"/>
        <w:contextualSpacing w:val="0"/>
        <w:rPr>
          <w:rFonts w:eastAsiaTheme="majorEastAsia" w:cstheme="majorBidi"/>
          <w:b/>
          <w:caps/>
          <w:spacing w:val="-10"/>
          <w:kern w:val="28"/>
          <w:szCs w:val="32"/>
          <w:lang w:eastAsia="en-US"/>
        </w:rPr>
      </w:pPr>
      <w:r>
        <w:rPr>
          <w:lang w:eastAsia="en-US"/>
        </w:rPr>
        <w:br w:type="page"/>
      </w:r>
    </w:p>
    <w:p w14:paraId="5A6324B7" w14:textId="77777777" w:rsidR="003E5B95" w:rsidRPr="009A5CA0" w:rsidRDefault="003E5B95" w:rsidP="003E5B95">
      <w:pPr>
        <w:pStyle w:val="Heading1"/>
        <w:rPr>
          <w:b/>
          <w:bCs/>
          <w:lang w:eastAsia="en-US"/>
        </w:rPr>
      </w:pPr>
      <w:bookmarkStart w:id="325" w:name="_Toc74087561"/>
      <w:bookmarkStart w:id="326" w:name="_Toc74258677"/>
      <w:r w:rsidRPr="009A5CA0">
        <w:rPr>
          <w:b/>
          <w:bCs/>
          <w:lang w:eastAsia="en-US"/>
        </w:rPr>
        <w:lastRenderedPageBreak/>
        <w:t>APPENDIX L: FUTURE RESEARCH</w:t>
      </w:r>
      <w:bookmarkEnd w:id="325"/>
      <w:bookmarkEnd w:id="326"/>
    </w:p>
    <w:p w14:paraId="288458F9" w14:textId="77777777" w:rsidR="003E5B95" w:rsidRPr="00DA5AC5" w:rsidRDefault="003E5B95" w:rsidP="003E5B95">
      <w:pPr>
        <w:pStyle w:val="Heading2"/>
        <w:rPr>
          <w:rFonts w:asciiTheme="majorHAnsi" w:hAnsiTheme="majorHAnsi"/>
          <w:bCs/>
          <w:kern w:val="0"/>
          <w:sz w:val="32"/>
          <w:lang w:eastAsia="en-US"/>
        </w:rPr>
      </w:pPr>
      <w:bookmarkStart w:id="327" w:name="_Toc73125109"/>
      <w:bookmarkStart w:id="328" w:name="_Toc74045275"/>
      <w:bookmarkStart w:id="329" w:name="_Toc74087562"/>
      <w:bookmarkStart w:id="330" w:name="_Toc74258678"/>
      <w:r w:rsidRPr="00DA5AC5">
        <w:rPr>
          <w:lang w:eastAsia="en-US"/>
        </w:rPr>
        <w:t>S</w:t>
      </w:r>
      <w:r>
        <w:rPr>
          <w:lang w:eastAsia="en-US"/>
        </w:rPr>
        <w:t>tress and Turnover</w:t>
      </w:r>
      <w:r w:rsidRPr="00DA5AC5">
        <w:rPr>
          <w:lang w:eastAsia="en-US"/>
        </w:rPr>
        <w:t>: A C</w:t>
      </w:r>
      <w:r>
        <w:rPr>
          <w:lang w:eastAsia="en-US"/>
        </w:rPr>
        <w:t>ybersecurity</w:t>
      </w:r>
      <w:r w:rsidRPr="00DA5AC5">
        <w:rPr>
          <w:lang w:eastAsia="en-US"/>
        </w:rPr>
        <w:t xml:space="preserve"> T</w:t>
      </w:r>
      <w:r>
        <w:rPr>
          <w:lang w:eastAsia="en-US"/>
        </w:rPr>
        <w:t>urnover</w:t>
      </w:r>
      <w:r w:rsidRPr="00DA5AC5">
        <w:rPr>
          <w:lang w:eastAsia="en-US"/>
        </w:rPr>
        <w:t xml:space="preserve"> I</w:t>
      </w:r>
      <w:r>
        <w:rPr>
          <w:lang w:eastAsia="en-US"/>
        </w:rPr>
        <w:t xml:space="preserve">ntention </w:t>
      </w:r>
      <w:r w:rsidRPr="00DA5AC5">
        <w:rPr>
          <w:lang w:eastAsia="en-US"/>
        </w:rPr>
        <w:t>M</w:t>
      </w:r>
      <w:bookmarkEnd w:id="327"/>
      <w:bookmarkEnd w:id="328"/>
      <w:r>
        <w:rPr>
          <w:lang w:eastAsia="en-US"/>
        </w:rPr>
        <w:t>odel</w:t>
      </w:r>
      <w:bookmarkEnd w:id="329"/>
      <w:bookmarkEnd w:id="330"/>
    </w:p>
    <w:p w14:paraId="78560FC9" w14:textId="0B836B85" w:rsidR="003E5B95" w:rsidRPr="00DA5AC5" w:rsidRDefault="003E5B95" w:rsidP="003E5B95">
      <w:pPr>
        <w:contextualSpacing w:val="0"/>
        <w:rPr>
          <w:rFonts w:cs="Times New Roman"/>
          <w:szCs w:val="24"/>
        </w:rPr>
      </w:pPr>
      <w:r w:rsidRPr="00DA5AC5">
        <w:rPr>
          <w:rFonts w:cs="Times New Roman"/>
          <w:szCs w:val="24"/>
        </w:rPr>
        <w:t xml:space="preserve">Cybersecurity is a high-risk, high-reward profession </w:t>
      </w:r>
      <w:r w:rsidRPr="00DA5AC5">
        <w:rPr>
          <w:rFonts w:cs="Times New Roman"/>
          <w:noProof/>
          <w:szCs w:val="24"/>
        </w:rPr>
        <w:t>(Jon Oltsik, 2019; Oltsik &amp; Alexander, 2018)</w:t>
      </w:r>
      <w:r w:rsidRPr="00DA5AC5">
        <w:rPr>
          <w:rFonts w:cs="Times New Roman"/>
          <w:szCs w:val="24"/>
        </w:rPr>
        <w:t>. For most cybersecurity professionals, the work is exhilarating, challenging, and highly valued by the industry. Because of this value, cybersecurity professionals enjoy numerous opportunities for upward growth in their profession. So, it would seem as though, for cybersecurity professionals, their work-life is filled with opportunity and promise. For example, the demand for cybersecurity professionals who carry out measures to protect their organization’s technical assets is estimated to increase at a rate of 32% from 2018-2028, much faster than the national average. Their median pay of $99,730 per year is also nearly three times the national average</w:t>
      </w:r>
      <w:r w:rsidRPr="00DA5AC5">
        <w:rPr>
          <w:rFonts w:asciiTheme="minorHAnsi" w:hAnsiTheme="minorHAnsi"/>
          <w:sz w:val="22"/>
          <w:szCs w:val="22"/>
          <w:vertAlign w:val="superscript"/>
        </w:rPr>
        <w:footnoteReference w:id="10"/>
      </w:r>
      <w:r w:rsidRPr="00DA5AC5">
        <w:rPr>
          <w:rFonts w:cs="Times New Roman"/>
          <w:szCs w:val="24"/>
        </w:rPr>
        <w:t>.</w:t>
      </w:r>
    </w:p>
    <w:p w14:paraId="18A88F3A" w14:textId="77777777" w:rsidR="003E5B95" w:rsidRPr="00DA5AC5" w:rsidRDefault="003E5B95" w:rsidP="003E5B95">
      <w:pPr>
        <w:contextualSpacing w:val="0"/>
        <w:rPr>
          <w:rFonts w:cs="Times New Roman"/>
          <w:szCs w:val="24"/>
        </w:rPr>
      </w:pPr>
      <w:r w:rsidRPr="00DA5AC5">
        <w:rPr>
          <w:rFonts w:cs="Times New Roman"/>
          <w:szCs w:val="24"/>
        </w:rPr>
        <w:t xml:space="preserve">Unfortunately, along with their professional advantages, cybersecurity professionals face some distinct disadvantages, disadvantages that have a negative impact both to the cybersecurity professional and on the organizations that depend on them </w:t>
      </w:r>
      <w:r w:rsidRPr="00DA5AC5">
        <w:rPr>
          <w:rFonts w:cs="Times New Roman"/>
          <w:noProof/>
          <w:szCs w:val="24"/>
        </w:rPr>
        <w:t>(Dykstra &amp; Paul, 2018)</w:t>
      </w:r>
      <w:r w:rsidRPr="00DA5AC5">
        <w:rPr>
          <w:rFonts w:cs="Times New Roman"/>
          <w:szCs w:val="24"/>
        </w:rPr>
        <w:t xml:space="preserve">. About 47% of cybersecurity professionals mention that they are unsatisfied with their jobs </w:t>
      </w:r>
      <w:r w:rsidRPr="00DA5AC5">
        <w:rPr>
          <w:rFonts w:cs="Times New Roman"/>
          <w:noProof/>
          <w:szCs w:val="24"/>
        </w:rPr>
        <w:t>(Oltsik &amp; Alexander, 2018)</w:t>
      </w:r>
      <w:r w:rsidRPr="00DA5AC5">
        <w:rPr>
          <w:rFonts w:cs="Times New Roman"/>
          <w:szCs w:val="24"/>
        </w:rPr>
        <w:t xml:space="preserve">. Much of this dissatisfaction stems from stress related to high workload levels and limited exposure to business units outside of information systems (IS) or information technology (IT). Additionally, the pressures related to constantly changing and/or limited IT budgets, difficulties in balancing work and family responsibilities, a persistent lack of qualified co-workers, and a rapidly evolving regulatory and legislatively restricted IT landscape have amplified the stress felt by cybersecurity professionals </w:t>
      </w:r>
      <w:r w:rsidRPr="00DA5AC5">
        <w:rPr>
          <w:rFonts w:cs="Times New Roman"/>
          <w:noProof/>
          <w:szCs w:val="24"/>
        </w:rPr>
        <w:t xml:space="preserve">(D'Arcy et al., 2014; D’Arcy &amp; Teh, </w:t>
      </w:r>
      <w:r w:rsidRPr="00DA5AC5">
        <w:rPr>
          <w:rFonts w:cs="Times New Roman"/>
          <w:noProof/>
          <w:szCs w:val="24"/>
        </w:rPr>
        <w:lastRenderedPageBreak/>
        <w:t>2019; Posey et al., 2011)</w:t>
      </w:r>
      <w:r w:rsidRPr="00DA5AC5">
        <w:rPr>
          <w:rFonts w:cs="Times New Roman"/>
          <w:szCs w:val="24"/>
        </w:rPr>
        <w:t xml:space="preserve">. Because of this stress, for many, their ultimate action is job turnover </w:t>
      </w:r>
      <w:r w:rsidRPr="00DA5AC5">
        <w:rPr>
          <w:rFonts w:cs="Times New Roman"/>
          <w:noProof/>
          <w:szCs w:val="24"/>
        </w:rPr>
        <w:t>(Joseph et al., 2015; Joseph et al., 2007; Thatcher et al., 2002)</w:t>
      </w:r>
      <w:r w:rsidRPr="00DA5AC5">
        <w:rPr>
          <w:rFonts w:cs="Times New Roman"/>
          <w:szCs w:val="24"/>
        </w:rPr>
        <w:t xml:space="preserve">. </w:t>
      </w:r>
    </w:p>
    <w:p w14:paraId="158B6BA1" w14:textId="03399355" w:rsidR="003E5B95" w:rsidRPr="00DA5AC5" w:rsidRDefault="003E5B95" w:rsidP="003E5B95">
      <w:pPr>
        <w:contextualSpacing w:val="0"/>
        <w:rPr>
          <w:rFonts w:cs="Times New Roman"/>
          <w:szCs w:val="24"/>
        </w:rPr>
      </w:pPr>
      <w:r w:rsidRPr="00DA5AC5">
        <w:rPr>
          <w:rFonts w:cs="Times New Roman"/>
          <w:szCs w:val="24"/>
        </w:rPr>
        <w:t xml:space="preserve">Job turnover refers to the changing of a job or organization within the same </w:t>
      </w:r>
      <w:r w:rsidR="00C46BBC" w:rsidRPr="00DA5AC5">
        <w:rPr>
          <w:rFonts w:cs="Times New Roman"/>
          <w:szCs w:val="24"/>
        </w:rPr>
        <w:t>profession (</w:t>
      </w:r>
      <w:r w:rsidRPr="00DA5AC5">
        <w:rPr>
          <w:rFonts w:cs="Times New Roman"/>
          <w:noProof/>
          <w:szCs w:val="24"/>
        </w:rPr>
        <w:t>Joseph et al., 2015)</w:t>
      </w:r>
      <w:r w:rsidR="00E91110">
        <w:rPr>
          <w:rFonts w:cs="Times New Roman"/>
          <w:szCs w:val="24"/>
        </w:rPr>
        <w:t xml:space="preserve">, </w:t>
      </w:r>
      <w:r w:rsidRPr="00DA5AC5">
        <w:rPr>
          <w:rFonts w:cs="Times New Roman"/>
          <w:szCs w:val="24"/>
        </w:rPr>
        <w:t xml:space="preserve">and for the cybersecurity professional, the decision to engage in job turnover has become an ever-increasing probability </w:t>
      </w:r>
      <w:r w:rsidRPr="00DA5AC5">
        <w:rPr>
          <w:rFonts w:cs="Times New Roman"/>
          <w:noProof/>
          <w:szCs w:val="24"/>
        </w:rPr>
        <w:t>(Moore, 2000)</w:t>
      </w:r>
      <w:r w:rsidRPr="00DA5AC5">
        <w:rPr>
          <w:rFonts w:cs="Times New Roman"/>
          <w:szCs w:val="24"/>
        </w:rPr>
        <w:t xml:space="preserve">. Job turnover is even more common among senior-level cybersecurity professionals, where they do not tend to stay in their senior roles for very long </w:t>
      </w:r>
      <w:r w:rsidRPr="00DA5AC5">
        <w:rPr>
          <w:rFonts w:cs="Times New Roman"/>
          <w:noProof/>
          <w:szCs w:val="24"/>
        </w:rPr>
        <w:t>(Wolff, 2019)</w:t>
      </w:r>
      <w:r w:rsidRPr="00DA5AC5">
        <w:rPr>
          <w:rFonts w:cs="Times New Roman"/>
          <w:szCs w:val="24"/>
        </w:rPr>
        <w:t xml:space="preserve">. On average, Chief Information Security Officers (CISOs), and others in similar </w:t>
      </w:r>
      <w:proofErr w:type="gramStart"/>
      <w:r w:rsidRPr="00DA5AC5">
        <w:rPr>
          <w:rFonts w:cs="Times New Roman"/>
          <w:szCs w:val="24"/>
        </w:rPr>
        <w:t>high ranking</w:t>
      </w:r>
      <w:proofErr w:type="gramEnd"/>
      <w:r w:rsidRPr="00DA5AC5">
        <w:rPr>
          <w:rFonts w:cs="Times New Roman"/>
          <w:szCs w:val="24"/>
        </w:rPr>
        <w:t xml:space="preserve"> positions, leave their jobs after only two and a half years, whereas those in lower ranked technical or comparable roles stay an average of four years </w:t>
      </w:r>
      <w:r w:rsidRPr="00DA5AC5">
        <w:rPr>
          <w:rFonts w:cs="Times New Roman"/>
          <w:noProof/>
          <w:szCs w:val="24"/>
        </w:rPr>
        <w:t>(Ponemon, 2014)</w:t>
      </w:r>
      <w:r w:rsidRPr="00DA5AC5">
        <w:rPr>
          <w:rFonts w:cs="Times New Roman"/>
          <w:szCs w:val="24"/>
        </w:rPr>
        <w:t xml:space="preserve">. Unfortunately, these job turnover statistics suggest that the current state of the cybersecurity profession is tenuous with the disadvantages seemingly outweighing the advantages. These turnover statistics are even more unsettling when we consider the current cybersecurity workforce gap that is estimated to be as high as 500,000 in the U.S. and 4.07 million globally in 2019 </w:t>
      </w:r>
      <w:r w:rsidRPr="00DA5AC5">
        <w:rPr>
          <w:rFonts w:cs="Times New Roman"/>
          <w:noProof/>
          <w:szCs w:val="24"/>
        </w:rPr>
        <w:t>((ISC)², 2019)</w:t>
      </w:r>
      <w:r w:rsidRPr="00DA5AC5">
        <w:rPr>
          <w:rFonts w:cs="Times New Roman"/>
          <w:szCs w:val="24"/>
        </w:rPr>
        <w:t xml:space="preserve">, figures only expected to worsen in the coming years </w:t>
      </w:r>
      <w:r w:rsidRPr="00DA5AC5">
        <w:rPr>
          <w:rFonts w:cs="Times New Roman"/>
          <w:noProof/>
          <w:szCs w:val="24"/>
        </w:rPr>
        <w:t>(HBR, 2019)</w:t>
      </w:r>
      <w:r w:rsidRPr="00DA5AC5">
        <w:rPr>
          <w:rFonts w:cs="Times New Roman"/>
          <w:szCs w:val="24"/>
        </w:rPr>
        <w:t xml:space="preserve">. </w:t>
      </w:r>
    </w:p>
    <w:p w14:paraId="20ACC4E0" w14:textId="4BC08D3B" w:rsidR="003E5B95" w:rsidRPr="00DA5AC5" w:rsidRDefault="003E5B95" w:rsidP="003E5B95">
      <w:pPr>
        <w:contextualSpacing w:val="0"/>
        <w:rPr>
          <w:rFonts w:cs="Times New Roman"/>
          <w:szCs w:val="24"/>
        </w:rPr>
      </w:pPr>
      <w:r w:rsidRPr="00DA5AC5">
        <w:rPr>
          <w:rFonts w:cs="Times New Roman"/>
          <w:szCs w:val="24"/>
        </w:rPr>
        <w:t xml:space="preserve">The immediate danger organizations face due to the high turnover rate among cybersecurity professionals is the security of their enterprise. Turnover, combined with the workforce and skill gap, as well as the high demand for those that do remain in the profession, has an overall negative organizational-level effect that manifests itself in the number and severity of security breaches and data loss experienced by firms </w:t>
      </w:r>
      <w:r w:rsidRPr="00DA5AC5">
        <w:rPr>
          <w:rFonts w:cs="Times New Roman"/>
          <w:noProof/>
          <w:szCs w:val="24"/>
        </w:rPr>
        <w:t>(Wolff, 2019)</w:t>
      </w:r>
      <w:r w:rsidRPr="00DA5AC5">
        <w:rPr>
          <w:rFonts w:cs="Times New Roman"/>
          <w:szCs w:val="24"/>
        </w:rPr>
        <w:t xml:space="preserve">. For these reasons, it’s incumbent upon both academics and practitioners to understand the factors that lead to turnover among cybersecurity professionals </w:t>
      </w:r>
      <w:r w:rsidRPr="00DA5AC5">
        <w:rPr>
          <w:rFonts w:cs="Times New Roman"/>
          <w:noProof/>
          <w:szCs w:val="24"/>
        </w:rPr>
        <w:t>(Wolff, 2019)</w:t>
      </w:r>
      <w:r w:rsidRPr="00DA5AC5">
        <w:rPr>
          <w:rFonts w:cs="Times New Roman"/>
          <w:szCs w:val="24"/>
        </w:rPr>
        <w:t xml:space="preserve">. If stress is the root cause of job turnover among cybersecurity professionals </w:t>
      </w:r>
      <w:r w:rsidRPr="00DA5AC5">
        <w:rPr>
          <w:rFonts w:cs="Times New Roman"/>
          <w:noProof/>
          <w:szCs w:val="24"/>
        </w:rPr>
        <w:t>(Jon Oltsik, 2019; Jon Oltsik, 2019)</w:t>
      </w:r>
      <w:r w:rsidRPr="00DA5AC5">
        <w:rPr>
          <w:rFonts w:cs="Times New Roman"/>
          <w:szCs w:val="24"/>
        </w:rPr>
        <w:t xml:space="preserve">, then what are the sources of </w:t>
      </w:r>
      <w:r w:rsidRPr="00DA5AC5">
        <w:rPr>
          <w:rFonts w:cs="Times New Roman"/>
          <w:szCs w:val="24"/>
        </w:rPr>
        <w:lastRenderedPageBreak/>
        <w:t xml:space="preserve">stress, how is this stress formed, and how does this stress ultimately influence a cybersecurity professional’s intentions to engage in job turnover? These are the questions that drive this research. </w:t>
      </w:r>
    </w:p>
    <w:p w14:paraId="1F09807F" w14:textId="24F8F488" w:rsidR="003E5B95" w:rsidRPr="00DA5AC5" w:rsidRDefault="003E5B95" w:rsidP="003E5B95">
      <w:pPr>
        <w:contextualSpacing w:val="0"/>
        <w:rPr>
          <w:rFonts w:cs="Times New Roman"/>
          <w:szCs w:val="24"/>
        </w:rPr>
      </w:pPr>
      <w:r w:rsidRPr="00DA5AC5">
        <w:rPr>
          <w:rFonts w:cs="Times New Roman"/>
          <w:szCs w:val="24"/>
        </w:rPr>
        <w:t>Toward answering these questions, we look to the literature on occupational stress, organizational behavior, positive psychology, and job turnover to develop the Cybersecurity Turnover Intention Model (CTIM). This model represents an integration of the Job Demands Resources model (JD-R)</w:t>
      </w:r>
      <w:r w:rsidRPr="00DA5AC5">
        <w:rPr>
          <w:rFonts w:cs="Times New Roman"/>
          <w:szCs w:val="24"/>
          <w:vertAlign w:val="superscript"/>
        </w:rPr>
        <w:footnoteReference w:id="11"/>
      </w:r>
      <w:r w:rsidRPr="00DA5AC5">
        <w:rPr>
          <w:rFonts w:cs="Times New Roman"/>
          <w:szCs w:val="24"/>
        </w:rPr>
        <w:t xml:space="preserve"> </w:t>
      </w:r>
      <w:r w:rsidRPr="00DA5AC5">
        <w:rPr>
          <w:rFonts w:cs="Times New Roman"/>
          <w:noProof/>
          <w:szCs w:val="24"/>
        </w:rPr>
        <w:t>(Demerouti &amp; Bakker, 2011; Demerouti et al., 2001)</w:t>
      </w:r>
      <w:r w:rsidRPr="00DA5AC5">
        <w:rPr>
          <w:rFonts w:cs="Times New Roman"/>
          <w:szCs w:val="24"/>
        </w:rPr>
        <w:t xml:space="preserve"> and Holistic Stress Model </w:t>
      </w:r>
      <w:r w:rsidRPr="00DA5AC5">
        <w:rPr>
          <w:rFonts w:cs="Times New Roman"/>
          <w:noProof/>
          <w:szCs w:val="24"/>
        </w:rPr>
        <w:t>(Nelson &amp; Simmons, 2011; Simmons &amp; Nelson, 2007)</w:t>
      </w:r>
      <w:r w:rsidRPr="00DA5AC5">
        <w:rPr>
          <w:rFonts w:cs="Times New Roman"/>
          <w:szCs w:val="24"/>
        </w:rPr>
        <w:t xml:space="preserve"> and provides an explanation for the working conditions which create and exacerbate stress among cybersecurity professionals and how that stress leads to intention to change jobs or places of work i.e.</w:t>
      </w:r>
      <w:r w:rsidR="008C726E">
        <w:rPr>
          <w:rFonts w:cs="Times New Roman"/>
          <w:szCs w:val="24"/>
        </w:rPr>
        <w:t>,</w:t>
      </w:r>
      <w:r w:rsidRPr="00DA5AC5">
        <w:rPr>
          <w:rFonts w:cs="Times New Roman"/>
          <w:szCs w:val="24"/>
        </w:rPr>
        <w:t xml:space="preserve"> job turnover intention. Job turnover intention is defined as a cybersecurity professional’s deliberate and conscious willingness to change one’s place of employment </w:t>
      </w:r>
      <w:r w:rsidRPr="00DA5AC5">
        <w:rPr>
          <w:rFonts w:cs="Times New Roman"/>
          <w:noProof/>
          <w:szCs w:val="24"/>
        </w:rPr>
        <w:t>(Lo, 2015)</w:t>
      </w:r>
      <w:r w:rsidRPr="00DA5AC5">
        <w:rPr>
          <w:rFonts w:cs="Times New Roman"/>
          <w:szCs w:val="24"/>
        </w:rPr>
        <w:t xml:space="preserve">. We propose to test this model using a mixed-method research design involving a Delphi study and a survey of cybersecurity professionals in the United States (U.S.).  </w:t>
      </w:r>
    </w:p>
    <w:p w14:paraId="4A9347AD" w14:textId="77777777" w:rsidR="003E5B95" w:rsidRPr="00DA5AC5" w:rsidRDefault="003E5B95" w:rsidP="003E5B95">
      <w:pPr>
        <w:contextualSpacing w:val="0"/>
        <w:rPr>
          <w:rFonts w:cs="Times New Roman"/>
          <w:szCs w:val="24"/>
        </w:rPr>
      </w:pPr>
      <w:r w:rsidRPr="00DA5AC5">
        <w:rPr>
          <w:rFonts w:cs="Times New Roman"/>
          <w:szCs w:val="24"/>
        </w:rPr>
        <w:t xml:space="preserve">In conducting this study, we hope to make several contributions to both research and practice. First, in terms of contributions to research, most of the empirical work exploring job turnover among information technology (IT) professionals has focused on the negative aspects of job demands. For example, perceived workload (demand) is a significant predictor of work exhaustion leading to a high rate of turnover </w:t>
      </w:r>
      <w:r w:rsidRPr="00DA5AC5">
        <w:rPr>
          <w:rFonts w:cs="Times New Roman"/>
          <w:noProof/>
          <w:szCs w:val="24"/>
        </w:rPr>
        <w:t>(Armstrong et al., 2015; Moore, 2000)</w:t>
      </w:r>
      <w:r w:rsidRPr="00DA5AC5">
        <w:rPr>
          <w:rFonts w:cs="Times New Roman"/>
          <w:szCs w:val="24"/>
        </w:rPr>
        <w:t xml:space="preserve">. But the literature also suggests that highly motivated employees who feel a high level of commitment to superior work performance can also feel exhaustion and burnout </w:t>
      </w:r>
      <w:r w:rsidRPr="00DA5AC5">
        <w:rPr>
          <w:rFonts w:cs="Times New Roman"/>
          <w:noProof/>
          <w:szCs w:val="24"/>
        </w:rPr>
        <w:t xml:space="preserve">(Crawford et al., 2010; </w:t>
      </w:r>
      <w:r w:rsidRPr="00DA5AC5">
        <w:rPr>
          <w:rFonts w:cs="Times New Roman"/>
          <w:noProof/>
          <w:szCs w:val="24"/>
        </w:rPr>
        <w:lastRenderedPageBreak/>
        <w:t>Hargrove et al., 2013)</w:t>
      </w:r>
      <w:r w:rsidRPr="00DA5AC5">
        <w:rPr>
          <w:rFonts w:cs="Times New Roman"/>
          <w:szCs w:val="24"/>
        </w:rPr>
        <w:t xml:space="preserve">. Employees are more willing to invest themselves in the projects where they seem more likely to feel confident, see opportunities for growth and gain, and where the outcomes of project completions are seen as meaningful and desirable </w:t>
      </w:r>
      <w:r w:rsidRPr="00DA5AC5">
        <w:rPr>
          <w:rFonts w:cs="Times New Roman"/>
          <w:noProof/>
          <w:szCs w:val="24"/>
        </w:rPr>
        <w:t>(Kahn &amp; Byosiere, 1992; Lazarus &amp; Folkman, 1984; Nelson &amp; Simmons, 2011)</w:t>
      </w:r>
      <w:r w:rsidRPr="00DA5AC5">
        <w:rPr>
          <w:rFonts w:cs="Times New Roman"/>
          <w:szCs w:val="24"/>
        </w:rPr>
        <w:t xml:space="preserve">. Such an investment of self can be a source of work overload and cause work exhaustion </w:t>
      </w:r>
      <w:r w:rsidRPr="00DA5AC5">
        <w:rPr>
          <w:rFonts w:cs="Times New Roman"/>
          <w:noProof/>
          <w:szCs w:val="24"/>
        </w:rPr>
        <w:t>(Crawford et al., 2010; Hargrove et al., 2013)</w:t>
      </w:r>
      <w:r w:rsidRPr="00DA5AC5">
        <w:rPr>
          <w:rFonts w:cs="Times New Roman"/>
          <w:szCs w:val="24"/>
        </w:rPr>
        <w:t xml:space="preserve">, but those that make this investment are generally those who are considered to be engaged with the work </w:t>
      </w:r>
      <w:r w:rsidRPr="00DA5AC5">
        <w:rPr>
          <w:rFonts w:cs="Times New Roman"/>
          <w:noProof/>
          <w:szCs w:val="24"/>
        </w:rPr>
        <w:t>(Schaufeli &amp; Bakker, 2004; Schaufeli &amp; Taris, 2014; Schaufeli et al., 2008)</w:t>
      </w:r>
      <w:r w:rsidRPr="00DA5AC5">
        <w:rPr>
          <w:rFonts w:cs="Times New Roman"/>
          <w:szCs w:val="24"/>
        </w:rPr>
        <w:t xml:space="preserve">. Engaged employees have an energetic and effective connection with their work, see themselves as competitive, and are eager to fulfill job demands </w:t>
      </w:r>
      <w:r w:rsidRPr="00DA5AC5">
        <w:rPr>
          <w:rFonts w:cs="Times New Roman"/>
          <w:noProof/>
          <w:szCs w:val="24"/>
        </w:rPr>
        <w:t>(Schaufeli et al., 2002; Schaufeli et al., 2008; Seppälä et al., 2008)</w:t>
      </w:r>
      <w:r w:rsidRPr="00DA5AC5">
        <w:rPr>
          <w:rFonts w:cs="Times New Roman"/>
          <w:szCs w:val="24"/>
        </w:rPr>
        <w:t>. In such a case, the perceived workload has a relationship with both the work exhaustion and work engagement, and such a differential nature</w:t>
      </w:r>
      <w:r w:rsidRPr="00DA5AC5">
        <w:rPr>
          <w:rFonts w:cs="Times New Roman"/>
          <w:szCs w:val="24"/>
          <w:vertAlign w:val="superscript"/>
        </w:rPr>
        <w:footnoteReference w:id="12"/>
      </w:r>
      <w:r w:rsidRPr="00DA5AC5">
        <w:rPr>
          <w:rFonts w:cs="Times New Roman"/>
          <w:szCs w:val="24"/>
        </w:rPr>
        <w:t xml:space="preserve"> of job demands where they are associated with both positive and negative forms of stress has not been studied in the prior IS literature on job turnover.</w:t>
      </w:r>
    </w:p>
    <w:p w14:paraId="0F3192E4" w14:textId="77777777" w:rsidR="003E5B95" w:rsidRPr="00DA5AC5" w:rsidRDefault="003E5B95" w:rsidP="003E5B95">
      <w:pPr>
        <w:contextualSpacing w:val="0"/>
        <w:rPr>
          <w:rFonts w:cs="Times New Roman"/>
          <w:szCs w:val="24"/>
        </w:rPr>
      </w:pPr>
      <w:r w:rsidRPr="00DA5AC5">
        <w:rPr>
          <w:rFonts w:cs="Times New Roman"/>
          <w:szCs w:val="24"/>
        </w:rPr>
        <w:t xml:space="preserve">Second, we contribute to the work engagement and IS literature by adding to the discussion of the role of work engagement in the context of job turnover </w:t>
      </w:r>
      <w:r w:rsidRPr="00DA5AC5">
        <w:rPr>
          <w:rFonts w:cs="Times New Roman"/>
          <w:noProof/>
          <w:szCs w:val="24"/>
        </w:rPr>
        <w:t>(Ahuja et al., 2007; Moore, 2000)</w:t>
      </w:r>
      <w:r w:rsidRPr="00DA5AC5">
        <w:rPr>
          <w:rFonts w:cs="Times New Roman"/>
          <w:szCs w:val="24"/>
        </w:rPr>
        <w:t xml:space="preserve">. The research on work engagement is </w:t>
      </w:r>
      <w:proofErr w:type="gramStart"/>
      <w:r w:rsidRPr="00DA5AC5">
        <w:rPr>
          <w:rFonts w:cs="Times New Roman"/>
          <w:szCs w:val="24"/>
        </w:rPr>
        <w:t>fairly recent</w:t>
      </w:r>
      <w:proofErr w:type="gramEnd"/>
      <w:r w:rsidRPr="00DA5AC5">
        <w:rPr>
          <w:rFonts w:cs="Times New Roman"/>
          <w:szCs w:val="24"/>
        </w:rPr>
        <w:t xml:space="preserve"> and still developing </w:t>
      </w:r>
      <w:r w:rsidRPr="00DA5AC5">
        <w:rPr>
          <w:rFonts w:cs="Times New Roman"/>
          <w:noProof/>
          <w:szCs w:val="24"/>
        </w:rPr>
        <w:t>(McManus &amp; Mosca, 2015; Welch, 2011)</w:t>
      </w:r>
      <w:r w:rsidRPr="00DA5AC5">
        <w:rPr>
          <w:rFonts w:cs="Times New Roman"/>
          <w:szCs w:val="24"/>
        </w:rPr>
        <w:t xml:space="preserve">. Because the trend of turnover among cybersecurity professionals remains high, research needs to explore the counter mechanism of turnover and focus on employees’ retention through their work engagement. Employees having a high level of work engagement find their work fulfilling, and this affective motivational state of mind fosters positive organizational outcomes such as a high degree of organizational commitment </w:t>
      </w:r>
      <w:r w:rsidRPr="00DA5AC5">
        <w:rPr>
          <w:rFonts w:cs="Times New Roman"/>
          <w:noProof/>
          <w:szCs w:val="24"/>
        </w:rPr>
        <w:t xml:space="preserve">(Schaufeli &amp; Taris, </w:t>
      </w:r>
      <w:r w:rsidRPr="00DA5AC5">
        <w:rPr>
          <w:rFonts w:cs="Times New Roman"/>
          <w:noProof/>
          <w:szCs w:val="24"/>
        </w:rPr>
        <w:lastRenderedPageBreak/>
        <w:t>2014)</w:t>
      </w:r>
      <w:r w:rsidRPr="00DA5AC5">
        <w:rPr>
          <w:rFonts w:cs="Times New Roman"/>
          <w:szCs w:val="24"/>
        </w:rPr>
        <w:t xml:space="preserve">. Hence, we believe that the insights provided by this study will contribute to the employee retention literature through the work engagement process. </w:t>
      </w:r>
    </w:p>
    <w:p w14:paraId="7BDCDC89" w14:textId="77777777" w:rsidR="003E5B95" w:rsidRPr="00DA5AC5" w:rsidRDefault="003E5B95" w:rsidP="003E5B95">
      <w:pPr>
        <w:contextualSpacing w:val="0"/>
        <w:rPr>
          <w:rFonts w:cs="Times New Roman"/>
          <w:szCs w:val="24"/>
        </w:rPr>
      </w:pPr>
      <w:r w:rsidRPr="00DA5AC5">
        <w:rPr>
          <w:rFonts w:cs="Times New Roman"/>
          <w:szCs w:val="24"/>
        </w:rPr>
        <w:t xml:space="preserve">From a practice perspective, we believe the findings of this research will provide a better understanding of the stress felt by cybersecurity professionals so that organizations can propose and implement interventions more effectively designed to mitigate or remove this underlying cause of job turnover. Instead, organizations can focus on positively framing the job demands to create a challenging but pleasant work environment for cybersecurity professionals </w:t>
      </w:r>
      <w:r w:rsidRPr="00DA5AC5">
        <w:rPr>
          <w:rFonts w:cs="Times New Roman"/>
          <w:noProof/>
          <w:szCs w:val="24"/>
        </w:rPr>
        <w:t>(Hargrove et al., 2013)</w:t>
      </w:r>
      <w:r w:rsidRPr="00DA5AC5">
        <w:rPr>
          <w:rFonts w:cs="Times New Roman"/>
          <w:szCs w:val="24"/>
        </w:rPr>
        <w:t xml:space="preserve">. In doing so, organizations will have a better chance of holding on to their valuable cybersecurity talent. </w:t>
      </w:r>
    </w:p>
    <w:p w14:paraId="63057E4F" w14:textId="77777777" w:rsidR="003E5B95" w:rsidRPr="00DA5AC5" w:rsidRDefault="003E5B95" w:rsidP="003E5B95">
      <w:pPr>
        <w:pStyle w:val="Heading2"/>
        <w:rPr>
          <w:lang w:eastAsia="en-US"/>
        </w:rPr>
      </w:pPr>
      <w:bookmarkStart w:id="331" w:name="_Toc73125110"/>
      <w:bookmarkStart w:id="332" w:name="_Toc74045276"/>
      <w:bookmarkStart w:id="333" w:name="_Toc74087563"/>
      <w:bookmarkStart w:id="334" w:name="_Toc74258679"/>
      <w:r w:rsidRPr="00DA5AC5">
        <w:rPr>
          <w:lang w:eastAsia="en-US"/>
        </w:rPr>
        <w:t>T</w:t>
      </w:r>
      <w:bookmarkEnd w:id="331"/>
      <w:bookmarkEnd w:id="332"/>
      <w:r>
        <w:rPr>
          <w:lang w:eastAsia="en-US"/>
        </w:rPr>
        <w:t>heoretical Framework</w:t>
      </w:r>
      <w:bookmarkEnd w:id="333"/>
      <w:bookmarkEnd w:id="334"/>
    </w:p>
    <w:p w14:paraId="64CB975B" w14:textId="77777777" w:rsidR="003E5B95" w:rsidRDefault="003E5B95" w:rsidP="003E5B95">
      <w:pPr>
        <w:contextualSpacing w:val="0"/>
        <w:rPr>
          <w:rFonts w:cs="Times New Roman"/>
          <w:szCs w:val="24"/>
        </w:rPr>
      </w:pPr>
      <w:r w:rsidRPr="00DA5AC5">
        <w:rPr>
          <w:rFonts w:cs="Times New Roman"/>
          <w:szCs w:val="24"/>
        </w:rPr>
        <w:t xml:space="preserve">In this section, we provide a theoretical framework for the development of the CTIM. There are two theoretical sources of inspiration for our model. The first one is the Job Demands Resources (JD-R) model. The other one is the Holistic Stress Model. Both are presented below, along with their relevant applications to the study of cybersecurity professional stress and job turnover. </w:t>
      </w:r>
      <w:bookmarkStart w:id="335" w:name="_Toc73125111"/>
      <w:bookmarkStart w:id="336" w:name="_Toc74045277"/>
    </w:p>
    <w:p w14:paraId="717A6528" w14:textId="77777777" w:rsidR="003E5B95" w:rsidRPr="006C2554" w:rsidRDefault="003E5B95" w:rsidP="003E5B95">
      <w:pPr>
        <w:pStyle w:val="Heading2"/>
      </w:pPr>
      <w:bookmarkStart w:id="337" w:name="_Toc74087564"/>
      <w:bookmarkStart w:id="338" w:name="_Toc74258680"/>
      <w:r w:rsidRPr="006C2554">
        <w:rPr>
          <w:rStyle w:val="Heading2Char"/>
          <w:b/>
        </w:rPr>
        <w:t>Job Demands Resources (JD-R) Model</w:t>
      </w:r>
      <w:bookmarkEnd w:id="335"/>
      <w:bookmarkEnd w:id="336"/>
      <w:bookmarkEnd w:id="337"/>
      <w:bookmarkEnd w:id="338"/>
    </w:p>
    <w:p w14:paraId="7F87AD55" w14:textId="77777777" w:rsidR="003E5B95" w:rsidRPr="00DA5AC5" w:rsidRDefault="003E5B95" w:rsidP="003E5B95">
      <w:pPr>
        <w:contextualSpacing w:val="0"/>
        <w:rPr>
          <w:rFonts w:cs="Times New Roman"/>
          <w:szCs w:val="24"/>
        </w:rPr>
      </w:pPr>
      <w:r w:rsidRPr="00DA5AC5">
        <w:rPr>
          <w:rFonts w:cs="Times New Roman"/>
          <w:szCs w:val="24"/>
        </w:rPr>
        <w:t xml:space="preserve">The JD-R model is an occupational stress model which was originally designed to explain the antecedents of burnout, where job demands and job resources were identified as the possible cause of burnout with the central proposition that burnout among employee occurs where working environments pose high job demands but provide fewer job resources </w:t>
      </w:r>
      <w:r w:rsidRPr="00DA5AC5">
        <w:rPr>
          <w:rFonts w:cs="Times New Roman"/>
          <w:noProof/>
          <w:szCs w:val="24"/>
        </w:rPr>
        <w:t>(Demerouti et al., 2001)</w:t>
      </w:r>
      <w:r w:rsidRPr="00DA5AC5">
        <w:rPr>
          <w:rFonts w:cs="Times New Roman"/>
          <w:szCs w:val="24"/>
        </w:rPr>
        <w:t xml:space="preserve">. Burnout is defined as a state of physical, emotional, and mental exhaustion caused by long term involvement in the demands presented by one’s job </w:t>
      </w:r>
      <w:r w:rsidRPr="00DA5AC5">
        <w:rPr>
          <w:rFonts w:cs="Times New Roman"/>
          <w:noProof/>
          <w:szCs w:val="24"/>
        </w:rPr>
        <w:t>(Lo, 2015)</w:t>
      </w:r>
      <w:r w:rsidRPr="00DA5AC5">
        <w:rPr>
          <w:rFonts w:cs="Times New Roman"/>
          <w:szCs w:val="24"/>
        </w:rPr>
        <w:t xml:space="preserve">. Job demands are the physical, social, or organizational aspects of the job which require sustained physical and </w:t>
      </w:r>
      <w:r w:rsidRPr="00DA5AC5">
        <w:rPr>
          <w:rFonts w:cs="Times New Roman"/>
          <w:szCs w:val="24"/>
        </w:rPr>
        <w:lastRenderedPageBreak/>
        <w:t xml:space="preserve">psychological efforts and costs </w:t>
      </w:r>
      <w:r w:rsidRPr="00DA5AC5">
        <w:rPr>
          <w:rFonts w:cs="Times New Roman"/>
          <w:noProof/>
          <w:szCs w:val="24"/>
        </w:rPr>
        <w:t>(Demerouti et al., 2001; Schaufeli &amp; Bakker, 2004)</w:t>
      </w:r>
      <w:r w:rsidRPr="00DA5AC5">
        <w:rPr>
          <w:rFonts w:cs="Times New Roman"/>
          <w:szCs w:val="24"/>
        </w:rPr>
        <w:t xml:space="preserve">. Examples of job demands include time pressure, role conflict, role ambiguity, and job insecurity </w:t>
      </w:r>
      <w:r w:rsidRPr="00DA5AC5">
        <w:rPr>
          <w:rFonts w:cs="Times New Roman"/>
          <w:noProof/>
          <w:szCs w:val="24"/>
        </w:rPr>
        <w:t>(Armstrong et al., 2015; Schaufeli &amp; Taris, 2014)</w:t>
      </w:r>
      <w:r w:rsidRPr="00DA5AC5">
        <w:rPr>
          <w:rFonts w:cs="Times New Roman"/>
          <w:szCs w:val="24"/>
        </w:rPr>
        <w:t xml:space="preserve">. Job resources are defined as the physical, </w:t>
      </w:r>
      <w:proofErr w:type="gramStart"/>
      <w:r w:rsidRPr="00DA5AC5">
        <w:rPr>
          <w:rFonts w:cs="Times New Roman"/>
          <w:szCs w:val="24"/>
        </w:rPr>
        <w:t>social</w:t>
      </w:r>
      <w:proofErr w:type="gramEnd"/>
      <w:r w:rsidRPr="00DA5AC5">
        <w:rPr>
          <w:rFonts w:cs="Times New Roman"/>
          <w:szCs w:val="24"/>
        </w:rPr>
        <w:t xml:space="preserve"> and psychological aspects of the job that helps in personal growth and development through the achievement of work-related goals and by reducing the job demands and their associated psychological cost </w:t>
      </w:r>
      <w:r w:rsidRPr="00DA5AC5">
        <w:rPr>
          <w:rFonts w:cs="Times New Roman"/>
          <w:noProof/>
          <w:szCs w:val="24"/>
        </w:rPr>
        <w:t>(Demerouti et al., 2001)</w:t>
      </w:r>
      <w:r w:rsidRPr="00DA5AC5">
        <w:rPr>
          <w:rFonts w:cs="Times New Roman"/>
          <w:szCs w:val="24"/>
        </w:rPr>
        <w:t xml:space="preserve">. Examples of job resources are feedback, autonomy, social support, etc. </w:t>
      </w:r>
      <w:r w:rsidRPr="00DA5AC5">
        <w:rPr>
          <w:rFonts w:cs="Times New Roman"/>
          <w:noProof/>
          <w:szCs w:val="24"/>
        </w:rPr>
        <w:t>(Schaufeli &amp; Taris, 2014)</w:t>
      </w:r>
      <w:r w:rsidRPr="00DA5AC5">
        <w:rPr>
          <w:rFonts w:cs="Times New Roman"/>
          <w:szCs w:val="24"/>
        </w:rPr>
        <w:t>.</w:t>
      </w:r>
    </w:p>
    <w:p w14:paraId="1311952F" w14:textId="6C209FB7" w:rsidR="003E5B95" w:rsidRPr="00DA5AC5" w:rsidRDefault="003E5B95" w:rsidP="003E5B95">
      <w:pPr>
        <w:contextualSpacing w:val="0"/>
        <w:rPr>
          <w:rFonts w:cs="Times New Roman"/>
          <w:szCs w:val="24"/>
        </w:rPr>
      </w:pPr>
      <w:r w:rsidRPr="00DA5AC5">
        <w:rPr>
          <w:rFonts w:cs="Times New Roman"/>
          <w:szCs w:val="24"/>
        </w:rPr>
        <w:t xml:space="preserve">Following the initial JD-R model, a revised version of the model included work engagement in addition to burnout in its explanation, where burnout and work engagement are considered to be the mediators of job demands and resources that lead to turnover intention </w:t>
      </w:r>
      <w:r w:rsidRPr="00DA5AC5">
        <w:rPr>
          <w:rFonts w:cs="Times New Roman"/>
          <w:noProof/>
          <w:szCs w:val="24"/>
        </w:rPr>
        <w:t>(Schaufeli &amp; Taris, 2014)</w:t>
      </w:r>
      <w:r w:rsidRPr="00DA5AC5">
        <w:rPr>
          <w:rFonts w:cs="Times New Roman"/>
          <w:szCs w:val="24"/>
        </w:rPr>
        <w:t xml:space="preserve">. Here work engagement is defined as the “positive, fulfilling, and work-related state of mind which is characterized by dedication, vigor, and absorption” </w:t>
      </w:r>
      <w:r w:rsidRPr="00DA5AC5">
        <w:rPr>
          <w:rFonts w:cs="Times New Roman"/>
          <w:noProof/>
          <w:szCs w:val="24"/>
        </w:rPr>
        <w:t>(Schaufeli et al., 2002, p. 74)</w:t>
      </w:r>
      <w:r w:rsidRPr="00DA5AC5">
        <w:rPr>
          <w:rFonts w:cs="Times New Roman"/>
          <w:szCs w:val="24"/>
        </w:rPr>
        <w:t xml:space="preserve">. The earlier versions of the JD-R model only focused on the resources available at work (job resources), but later it also recognized the individual traits such as optimism, organization-based self-esteem, and self-efficacy as a key contributor towards one’s goals and achievement at work, and having an impact on burnout and work engagement </w:t>
      </w:r>
      <w:r w:rsidRPr="00DA5AC5">
        <w:rPr>
          <w:rFonts w:cs="Times New Roman"/>
          <w:noProof/>
          <w:szCs w:val="24"/>
        </w:rPr>
        <w:t>(Demerouti &amp; Bakker, 2011; Schaufeli &amp; Taris, 2014; Xanthopoulou et al., 2007)</w:t>
      </w:r>
      <w:r w:rsidRPr="00DA5AC5">
        <w:rPr>
          <w:rFonts w:cs="Times New Roman"/>
          <w:szCs w:val="24"/>
        </w:rPr>
        <w:t xml:space="preserve"> These personal traits are also known as the personal resources and are linked to resiliency and one’s ability to successfully control impact upon his/her environment, during challenging circumstances </w:t>
      </w:r>
      <w:r w:rsidRPr="00DA5AC5">
        <w:rPr>
          <w:rFonts w:cs="Times New Roman"/>
          <w:noProof/>
          <w:szCs w:val="24"/>
        </w:rPr>
        <w:t>(Hobfoll et al., 2003)</w:t>
      </w:r>
      <w:r w:rsidRPr="00DA5AC5">
        <w:rPr>
          <w:rFonts w:cs="Times New Roman"/>
          <w:szCs w:val="24"/>
        </w:rPr>
        <w:t xml:space="preserve">. </w:t>
      </w:r>
    </w:p>
    <w:p w14:paraId="2494F6EE" w14:textId="77777777" w:rsidR="003E5B95" w:rsidRPr="00DA5AC5" w:rsidRDefault="003E5B95" w:rsidP="003E5B95">
      <w:pPr>
        <w:contextualSpacing w:val="0"/>
        <w:rPr>
          <w:rFonts w:cs="Times New Roman"/>
          <w:szCs w:val="24"/>
        </w:rPr>
      </w:pPr>
      <w:r w:rsidRPr="00DA5AC5">
        <w:rPr>
          <w:rFonts w:cs="Times New Roman"/>
          <w:szCs w:val="24"/>
        </w:rPr>
        <w:t xml:space="preserve">Recent advancement in job demands literature shows that job demands can be distinguished in terms of challenge demands and hindrance demands </w:t>
      </w:r>
      <w:r w:rsidRPr="00DA5AC5">
        <w:rPr>
          <w:rFonts w:cs="Times New Roman"/>
          <w:noProof/>
          <w:szCs w:val="24"/>
        </w:rPr>
        <w:t>(Cavanaugh et al., 2000; LePine et al., 2005)</w:t>
      </w:r>
      <w:r w:rsidRPr="00DA5AC5">
        <w:rPr>
          <w:rFonts w:cs="Times New Roman"/>
          <w:szCs w:val="24"/>
        </w:rPr>
        <w:t xml:space="preserve">. Challenge demands are job demands associated with opportunities to learn, achieve, and demonstrate competence. These demands often lead to opportunities for reward and represent the </w:t>
      </w:r>
      <w:r w:rsidRPr="00DA5AC5">
        <w:rPr>
          <w:rFonts w:cs="Times New Roman"/>
          <w:szCs w:val="24"/>
        </w:rPr>
        <w:lastRenderedPageBreak/>
        <w:t xml:space="preserve">degree to which stressful work environments have the potential to present rewarding work experiences, opportunities for personal growth, or future gains </w:t>
      </w:r>
      <w:r w:rsidRPr="00DA5AC5">
        <w:rPr>
          <w:rFonts w:cs="Times New Roman"/>
          <w:noProof/>
          <w:szCs w:val="24"/>
        </w:rPr>
        <w:t>(Zhang et al., 2014)</w:t>
      </w:r>
      <w:r w:rsidRPr="00DA5AC5">
        <w:rPr>
          <w:rFonts w:cs="Times New Roman"/>
          <w:szCs w:val="24"/>
        </w:rPr>
        <w:t xml:space="preserve">. High levels of responsibility, time pressures, job complexity, and work overload are a few examples of challenge demands </w:t>
      </w:r>
      <w:r w:rsidRPr="00DA5AC5">
        <w:rPr>
          <w:rFonts w:cs="Times New Roman"/>
          <w:noProof/>
          <w:szCs w:val="24"/>
        </w:rPr>
        <w:t>(Cavanaugh et al., 2000; LePine et al., 2005; Podsakoff et al., 2007)</w:t>
      </w:r>
      <w:r w:rsidRPr="00DA5AC5">
        <w:rPr>
          <w:rFonts w:cs="Times New Roman"/>
          <w:szCs w:val="24"/>
        </w:rPr>
        <w:t xml:space="preserve">. They </w:t>
      </w:r>
      <w:proofErr w:type="gramStart"/>
      <w:r w:rsidRPr="00DA5AC5">
        <w:rPr>
          <w:rFonts w:cs="Times New Roman"/>
          <w:szCs w:val="24"/>
        </w:rPr>
        <w:t>are considered to be</w:t>
      </w:r>
      <w:proofErr w:type="gramEnd"/>
      <w:r w:rsidRPr="00DA5AC5">
        <w:rPr>
          <w:rFonts w:cs="Times New Roman"/>
          <w:szCs w:val="24"/>
        </w:rPr>
        <w:t xml:space="preserve"> “good” demands </w:t>
      </w:r>
      <w:r w:rsidRPr="00DA5AC5">
        <w:rPr>
          <w:rFonts w:cs="Times New Roman"/>
          <w:noProof/>
          <w:szCs w:val="24"/>
        </w:rPr>
        <w:t>(Cavanaugh et al., 2000; Demerouti &amp; Bakker, 2011; McCauley et al., 1994)</w:t>
      </w:r>
      <w:r w:rsidRPr="00DA5AC5">
        <w:rPr>
          <w:rFonts w:cs="Times New Roman"/>
          <w:szCs w:val="24"/>
        </w:rPr>
        <w:t xml:space="preserve">. Furthermore, challenge demands have a positive relationship with work performance, organizational commitment, and job satisfaction and a negative relationship with the employee’s intention to quit and actual job turnover </w:t>
      </w:r>
      <w:r w:rsidRPr="00DA5AC5">
        <w:rPr>
          <w:rFonts w:cs="Times New Roman"/>
          <w:noProof/>
          <w:szCs w:val="24"/>
        </w:rPr>
        <w:t>(LePine et al., 2005; Podsakoff et al., 2007)</w:t>
      </w:r>
      <w:r w:rsidRPr="00DA5AC5">
        <w:rPr>
          <w:rFonts w:cs="Times New Roman"/>
          <w:szCs w:val="24"/>
        </w:rPr>
        <w:t xml:space="preserve">. But, excessive indulgence in challenge demands can cause negative outcomes such as exhaustion and withdrawal from work </w:t>
      </w:r>
      <w:r w:rsidRPr="00DA5AC5">
        <w:rPr>
          <w:rFonts w:cs="Times New Roman"/>
          <w:noProof/>
          <w:szCs w:val="24"/>
        </w:rPr>
        <w:t>(Crawford et al., 2010; Hargrove et al., 2013)</w:t>
      </w:r>
      <w:r w:rsidRPr="00DA5AC5">
        <w:rPr>
          <w:rFonts w:cs="Times New Roman"/>
          <w:szCs w:val="24"/>
        </w:rPr>
        <w:t xml:space="preserve">. </w:t>
      </w:r>
    </w:p>
    <w:p w14:paraId="01D1CD8D" w14:textId="77777777" w:rsidR="003E5B95" w:rsidRPr="00DA5AC5" w:rsidRDefault="003E5B95" w:rsidP="003E5B95">
      <w:pPr>
        <w:contextualSpacing w:val="0"/>
        <w:rPr>
          <w:rFonts w:cs="Times New Roman"/>
          <w:szCs w:val="24"/>
        </w:rPr>
      </w:pPr>
      <w:r w:rsidRPr="00DA5AC5">
        <w:rPr>
          <w:rFonts w:cs="Times New Roman"/>
          <w:szCs w:val="24"/>
        </w:rPr>
        <w:t xml:space="preserve">On the other hand, hindrance demands are perceived as barriers, constraints, or roadblocks that hinder progress towards goal attainment, personal growth, or rewards accrued as a result of being evaluated as a good performer </w:t>
      </w:r>
      <w:r w:rsidRPr="00DA5AC5">
        <w:rPr>
          <w:rFonts w:cs="Times New Roman"/>
          <w:noProof/>
          <w:szCs w:val="24"/>
        </w:rPr>
        <w:t>(Cavanaugh et al., 2000; Podsakoff et al., 2007)</w:t>
      </w:r>
      <w:r w:rsidRPr="00DA5AC5">
        <w:rPr>
          <w:rFonts w:cs="Times New Roman"/>
          <w:szCs w:val="24"/>
        </w:rPr>
        <w:t xml:space="preserve">. Examples of hindrance demands are role ambiguity, role conflict, organizational politics, and interpersonal conflict </w:t>
      </w:r>
      <w:r w:rsidRPr="00DA5AC5">
        <w:rPr>
          <w:rFonts w:cs="Times New Roman"/>
          <w:noProof/>
          <w:szCs w:val="24"/>
        </w:rPr>
        <w:t>(Cavanaugh et al., 2000; Demerouti &amp; Bakker, 2011; LePine et al., 2005)</w:t>
      </w:r>
      <w:r w:rsidRPr="00DA5AC5">
        <w:rPr>
          <w:rFonts w:cs="Times New Roman"/>
          <w:szCs w:val="24"/>
        </w:rPr>
        <w:t xml:space="preserve">. These demands are considered as “bad” demands </w:t>
      </w:r>
      <w:r w:rsidRPr="00DA5AC5">
        <w:rPr>
          <w:rFonts w:cs="Times New Roman"/>
          <w:noProof/>
          <w:szCs w:val="24"/>
        </w:rPr>
        <w:t>(Demerouti &amp; Bakker, 2011)</w:t>
      </w:r>
      <w:r w:rsidRPr="00DA5AC5">
        <w:rPr>
          <w:rFonts w:cs="Times New Roman"/>
          <w:szCs w:val="24"/>
        </w:rPr>
        <w:t xml:space="preserve"> and share a positive relationship with an employee’s intention to quit, turnover, and withdrawal behaviors such as absenteeism and tardiness </w:t>
      </w:r>
      <w:r w:rsidRPr="00DA5AC5">
        <w:rPr>
          <w:rFonts w:cs="Times New Roman"/>
          <w:noProof/>
          <w:szCs w:val="24"/>
        </w:rPr>
        <w:t>(LePine et al., 2004; LePine et al., 2005; Podsakoff et al., 2007)</w:t>
      </w:r>
      <w:r w:rsidRPr="00DA5AC5">
        <w:rPr>
          <w:rFonts w:cs="Times New Roman"/>
          <w:szCs w:val="24"/>
        </w:rPr>
        <w:t xml:space="preserve">. They also have a negative relationship with an employee’s work performance, job satisfaction, and organizational commitment </w:t>
      </w:r>
      <w:r w:rsidRPr="00DA5AC5">
        <w:rPr>
          <w:rFonts w:cs="Times New Roman"/>
          <w:noProof/>
          <w:szCs w:val="24"/>
        </w:rPr>
        <w:t>(LePine et al., 2005; Podsakoff et al., 2007)</w:t>
      </w:r>
      <w:r w:rsidRPr="00DA5AC5">
        <w:rPr>
          <w:rFonts w:cs="Times New Roman"/>
          <w:szCs w:val="24"/>
        </w:rPr>
        <w:t xml:space="preserve">. </w:t>
      </w:r>
    </w:p>
    <w:p w14:paraId="68C73977" w14:textId="0B4DC57E" w:rsidR="003E5B95" w:rsidRDefault="003E5B95" w:rsidP="003E5B95">
      <w:pPr>
        <w:contextualSpacing w:val="0"/>
        <w:rPr>
          <w:rFonts w:cs="Times New Roman"/>
          <w:szCs w:val="24"/>
        </w:rPr>
      </w:pPr>
      <w:r w:rsidRPr="00DA5AC5">
        <w:rPr>
          <w:rFonts w:cs="Times New Roman"/>
          <w:szCs w:val="24"/>
        </w:rPr>
        <w:t>Lastly, the JD-R model suggests that there are two different psychological processes, an energy depletion process (also known as the health impairment process) and a motivational process that relates to burnout and work engagement</w:t>
      </w:r>
      <w:r w:rsidR="008C726E">
        <w:rPr>
          <w:rFonts w:cs="Times New Roman"/>
          <w:szCs w:val="24"/>
        </w:rPr>
        <w:t>,</w:t>
      </w:r>
      <w:r w:rsidRPr="00DA5AC5">
        <w:rPr>
          <w:rFonts w:cs="Times New Roman"/>
          <w:szCs w:val="24"/>
        </w:rPr>
        <w:t xml:space="preserve"> respectively. These processes play a role in </w:t>
      </w:r>
      <w:r w:rsidRPr="00DA5AC5">
        <w:rPr>
          <w:rFonts w:cs="Times New Roman"/>
          <w:szCs w:val="24"/>
        </w:rPr>
        <w:lastRenderedPageBreak/>
        <w:t xml:space="preserve">the development of </w:t>
      </w:r>
      <w:r w:rsidR="008C726E" w:rsidRPr="00DA5AC5">
        <w:rPr>
          <w:rFonts w:cs="Times New Roman"/>
          <w:szCs w:val="24"/>
        </w:rPr>
        <w:t>job-related</w:t>
      </w:r>
      <w:r w:rsidRPr="00DA5AC5">
        <w:rPr>
          <w:rFonts w:cs="Times New Roman"/>
          <w:szCs w:val="24"/>
        </w:rPr>
        <w:t xml:space="preserve"> strain and motivation </w:t>
      </w:r>
      <w:r w:rsidRPr="00DA5AC5">
        <w:rPr>
          <w:rFonts w:cs="Times New Roman"/>
          <w:noProof/>
          <w:szCs w:val="24"/>
        </w:rPr>
        <w:t>(Demerouti &amp; Bakker, 2011)</w:t>
      </w:r>
      <w:r w:rsidRPr="00DA5AC5">
        <w:rPr>
          <w:rFonts w:cs="Times New Roman"/>
          <w:szCs w:val="24"/>
        </w:rPr>
        <w:t>. Job demands are assumed to initiate an energy depletion process where an employees’ sustained involvement</w:t>
      </w:r>
      <w:r w:rsidR="008C726E">
        <w:rPr>
          <w:rFonts w:cs="Times New Roman"/>
          <w:szCs w:val="24"/>
        </w:rPr>
        <w:t xml:space="preserve"> in</w:t>
      </w:r>
      <w:r w:rsidRPr="00DA5AC5">
        <w:rPr>
          <w:rFonts w:cs="Times New Roman"/>
          <w:szCs w:val="24"/>
        </w:rPr>
        <w:t xml:space="preserve"> meet</w:t>
      </w:r>
      <w:r w:rsidR="008C726E">
        <w:rPr>
          <w:rFonts w:cs="Times New Roman"/>
          <w:szCs w:val="24"/>
        </w:rPr>
        <w:t>ing</w:t>
      </w:r>
      <w:r w:rsidRPr="00DA5AC5">
        <w:rPr>
          <w:rFonts w:cs="Times New Roman"/>
          <w:szCs w:val="24"/>
        </w:rPr>
        <w:t xml:space="preserve"> job demands results in exhaustion, an energy depletion component of burnout. “The depletion of energy and increased stress from responding to demands gradually leads employees to feel used up and worn out” </w:t>
      </w:r>
      <w:r w:rsidRPr="00DA5AC5">
        <w:rPr>
          <w:rFonts w:cs="Times New Roman"/>
          <w:noProof/>
          <w:szCs w:val="24"/>
        </w:rPr>
        <w:t>(Crawford et al., 2010, p. 836)</w:t>
      </w:r>
      <w:r w:rsidRPr="00DA5AC5">
        <w:rPr>
          <w:rFonts w:cs="Times New Roman"/>
          <w:szCs w:val="24"/>
        </w:rPr>
        <w:t xml:space="preserve">. Job resources are attributed to a motivational process where perceived resources are seen by employees as instrumental in achieving professional goals and in promoting growth through learning and development </w:t>
      </w:r>
      <w:r w:rsidRPr="00DA5AC5">
        <w:rPr>
          <w:rFonts w:cs="Times New Roman"/>
          <w:noProof/>
          <w:szCs w:val="24"/>
        </w:rPr>
        <w:t>(Demerouti &amp; Bakker, 2011)</w:t>
      </w:r>
      <w:r w:rsidRPr="00DA5AC5">
        <w:rPr>
          <w:rFonts w:cs="Times New Roman"/>
          <w:szCs w:val="24"/>
        </w:rPr>
        <w:t xml:space="preserve">. </w:t>
      </w:r>
    </w:p>
    <w:p w14:paraId="3DF4809F" w14:textId="77777777" w:rsidR="003E5B95" w:rsidRPr="006C2554" w:rsidRDefault="003E5B95" w:rsidP="003E5B95">
      <w:pPr>
        <w:pStyle w:val="Heading2"/>
        <w:rPr>
          <w:rStyle w:val="Heading3Char"/>
          <w:b/>
          <w:bCs w:val="0"/>
        </w:rPr>
      </w:pPr>
      <w:bookmarkStart w:id="339" w:name="_Toc74087565"/>
      <w:bookmarkStart w:id="340" w:name="_Toc74258681"/>
      <w:r w:rsidRPr="006C2554">
        <w:rPr>
          <w:rStyle w:val="Heading3Char"/>
          <w:b/>
          <w:bCs w:val="0"/>
        </w:rPr>
        <w:t>The Holistic Stress Model</w:t>
      </w:r>
      <w:bookmarkEnd w:id="339"/>
      <w:bookmarkEnd w:id="340"/>
    </w:p>
    <w:p w14:paraId="67F71DF0" w14:textId="636E4735" w:rsidR="003E5B95" w:rsidRPr="00DA5AC5" w:rsidRDefault="003E5B95" w:rsidP="003E5B95">
      <w:pPr>
        <w:contextualSpacing w:val="0"/>
        <w:rPr>
          <w:rFonts w:cs="Times New Roman"/>
          <w:szCs w:val="24"/>
        </w:rPr>
      </w:pPr>
      <w:r w:rsidRPr="00DA5AC5">
        <w:rPr>
          <w:rFonts w:cs="Times New Roman"/>
          <w:szCs w:val="24"/>
        </w:rPr>
        <w:t>The Holistic Stress Model is an attempt to present a complete and comprehensive picture of work stress to understand why some people thrive at work in adverse circumstances</w:t>
      </w:r>
      <w:r w:rsidR="008C726E">
        <w:rPr>
          <w:rFonts w:cs="Times New Roman"/>
          <w:szCs w:val="24"/>
        </w:rPr>
        <w:t xml:space="preserve"> </w:t>
      </w:r>
      <w:r w:rsidRPr="00DA5AC5">
        <w:rPr>
          <w:rFonts w:cs="Times New Roman"/>
          <w:szCs w:val="24"/>
        </w:rPr>
        <w:t xml:space="preserve">while others do not. The Holistic Stress Model is grounded in positive psychology and asserts that any given demand, which is inherently neutral, has a potential for creating a challenge and/or hindrance stress depending upon how it is appraised. Individual differences, such as optimism, influence how demands are appraised, and these appraisals lead to positive (eustress/challenge stress) and negative (distress/hindrance stress) psychological responses in the form of emotions, attitudes, and behaviors. In this model, eustress (good stress) shows the extent to which an appraisal of a demand has the potential to produce gain and mastery. On the other hand, distress (bad stress) shows the extent to which an appraisal of a demand may be threatening or harmful, resulting in negative outcomes such as absenteeism or turnover. As a result of demand appraisals and the psychological responses to them, individuals select strategies to either cope with a demand (attenuate or abolishing or the negative effect of a demand) or savor (enhance the positive effects) the effects of the demands. Therefore, the positive and negative psychological responses </w:t>
      </w:r>
      <w:r w:rsidRPr="00DA5AC5">
        <w:rPr>
          <w:rFonts w:cs="Times New Roman"/>
          <w:szCs w:val="24"/>
        </w:rPr>
        <w:lastRenderedPageBreak/>
        <w:t xml:space="preserve">have a differentiated effect on outcomes at work. Lastly, the Holistic Stress Model suggests that the expectation alignment between an employee and management is a moderator of the positive and negative psychological responses to a demand and the outcomes of these responses. </w:t>
      </w:r>
    </w:p>
    <w:p w14:paraId="0E4479A6" w14:textId="77777777" w:rsidR="003E5B95" w:rsidRPr="00DA5AC5" w:rsidRDefault="003E5B95" w:rsidP="003E5B95">
      <w:pPr>
        <w:pStyle w:val="Heading2"/>
        <w:rPr>
          <w:lang w:eastAsia="en-US"/>
        </w:rPr>
      </w:pPr>
      <w:bookmarkStart w:id="341" w:name="_Toc73125113"/>
      <w:bookmarkStart w:id="342" w:name="_Toc74045279"/>
      <w:bookmarkStart w:id="343" w:name="_Toc74087566"/>
      <w:bookmarkStart w:id="344" w:name="_Toc74258682"/>
      <w:r w:rsidRPr="00DA5AC5">
        <w:rPr>
          <w:lang w:eastAsia="en-US"/>
        </w:rPr>
        <w:t>T</w:t>
      </w:r>
      <w:r>
        <w:rPr>
          <w:lang w:eastAsia="en-US"/>
        </w:rPr>
        <w:t>he</w:t>
      </w:r>
      <w:r w:rsidRPr="00DA5AC5">
        <w:rPr>
          <w:lang w:eastAsia="en-US"/>
        </w:rPr>
        <w:t xml:space="preserve"> C</w:t>
      </w:r>
      <w:r>
        <w:rPr>
          <w:lang w:eastAsia="en-US"/>
        </w:rPr>
        <w:t xml:space="preserve">ybersecurity </w:t>
      </w:r>
      <w:r w:rsidRPr="00DA5AC5">
        <w:rPr>
          <w:lang w:eastAsia="en-US"/>
        </w:rPr>
        <w:t>T</w:t>
      </w:r>
      <w:r>
        <w:rPr>
          <w:lang w:eastAsia="en-US"/>
        </w:rPr>
        <w:t xml:space="preserve">urnover Intention </w:t>
      </w:r>
      <w:r w:rsidRPr="00DA5AC5">
        <w:rPr>
          <w:lang w:eastAsia="en-US"/>
        </w:rPr>
        <w:t>M</w:t>
      </w:r>
      <w:r>
        <w:rPr>
          <w:lang w:eastAsia="en-US"/>
        </w:rPr>
        <w:t>odel and</w:t>
      </w:r>
      <w:r w:rsidRPr="00DA5AC5">
        <w:rPr>
          <w:lang w:eastAsia="en-US"/>
        </w:rPr>
        <w:t xml:space="preserve"> A</w:t>
      </w:r>
      <w:r>
        <w:rPr>
          <w:lang w:eastAsia="en-US"/>
        </w:rPr>
        <w:t>ssociated H</w:t>
      </w:r>
      <w:bookmarkEnd w:id="341"/>
      <w:bookmarkEnd w:id="342"/>
      <w:r>
        <w:rPr>
          <w:lang w:eastAsia="en-US"/>
        </w:rPr>
        <w:t>ypotheses</w:t>
      </w:r>
      <w:bookmarkEnd w:id="343"/>
      <w:bookmarkEnd w:id="344"/>
    </w:p>
    <w:p w14:paraId="73FB99A3" w14:textId="77777777" w:rsidR="003E5B95" w:rsidRPr="00DA5AC5" w:rsidRDefault="003E5B95" w:rsidP="003E5B95">
      <w:pPr>
        <w:contextualSpacing w:val="0"/>
        <w:rPr>
          <w:rFonts w:cs="Times New Roman"/>
          <w:szCs w:val="24"/>
        </w:rPr>
      </w:pPr>
      <w:r w:rsidRPr="00DA5AC5">
        <w:rPr>
          <w:rFonts w:cs="Times New Roman"/>
          <w:szCs w:val="24"/>
        </w:rPr>
        <w:t xml:space="preserve">Based on the JD-R model and Holistic Stress model, we create a Cybersecurity Turnover Intention Model (CTIM). We took this integrative approach to present a view of cybersecurity professional turnover intentions not possible from either model, individually. In the research involving the JD-R model, it is assumed that job characteristics have a similar meaning for every employee, that every employee appraises job demands and job resources in a similar manner </w:t>
      </w:r>
      <w:r w:rsidRPr="00DA5AC5">
        <w:rPr>
          <w:rFonts w:cs="Times New Roman"/>
          <w:noProof/>
          <w:szCs w:val="24"/>
        </w:rPr>
        <w:t>(Crawford et al., 2010)</w:t>
      </w:r>
      <w:r w:rsidRPr="00DA5AC5">
        <w:rPr>
          <w:rFonts w:cs="Times New Roman"/>
          <w:szCs w:val="24"/>
        </w:rPr>
        <w:t xml:space="preserve">. We don’t believe this to be the case. The JD-R model is also focused primarily on long-term consequences such as the attitude an employee may form because of their sustained exposure to their work environment. This model does not tell us the emotional states, such as fear, anger, happiness, joy, or hope, that employees may experience prior to burnout or work engagement </w:t>
      </w:r>
      <w:r w:rsidRPr="00DA5AC5">
        <w:rPr>
          <w:rFonts w:cs="Times New Roman"/>
          <w:noProof/>
          <w:szCs w:val="24"/>
        </w:rPr>
        <w:t>(Simmons &amp; Nelson, 2007)</w:t>
      </w:r>
      <w:r w:rsidRPr="00DA5AC5">
        <w:rPr>
          <w:rFonts w:cs="Times New Roman"/>
          <w:szCs w:val="24"/>
        </w:rPr>
        <w:t xml:space="preserve">. </w:t>
      </w:r>
    </w:p>
    <w:p w14:paraId="1641F53C" w14:textId="77777777" w:rsidR="003E5B95" w:rsidRPr="00DA5AC5" w:rsidRDefault="003E5B95" w:rsidP="003E5B95">
      <w:pPr>
        <w:contextualSpacing w:val="0"/>
        <w:rPr>
          <w:rFonts w:cs="Times New Roman"/>
          <w:szCs w:val="24"/>
        </w:rPr>
      </w:pPr>
      <w:r w:rsidRPr="00DA5AC5">
        <w:rPr>
          <w:rFonts w:cs="Times New Roman"/>
          <w:szCs w:val="24"/>
        </w:rPr>
        <w:t xml:space="preserve">These limitations of the JD-R model are where the Holistic Stress Model excels, however, by providing a more complete and comprehensive view of an individual’s experience of work stress. The Holistic Stress Model suggests that individual traits (referred to as personal resources in the JD-R model) moderate the relationship between demands and their associated psychological responses. Secondly, it tells us that for a given demand, both positive and negative psychological responses are experienced to a varying degree before an attitude is formed (burnout and engagement). For these reasons, we believe a model formed as an integration of the JD-R and Holistic Stress Model would provide a more comprehensive view of cybersecurity professional turnover intentions. We begin with a description of the integration process. </w:t>
      </w:r>
    </w:p>
    <w:p w14:paraId="7B69AB60" w14:textId="396701BB" w:rsidR="003E5B95" w:rsidRPr="00DA5AC5" w:rsidRDefault="003E5B95" w:rsidP="003E5B95">
      <w:pPr>
        <w:contextualSpacing w:val="0"/>
        <w:rPr>
          <w:rFonts w:cs="Times New Roman"/>
          <w:szCs w:val="24"/>
        </w:rPr>
      </w:pPr>
      <w:r w:rsidRPr="00DA5AC5">
        <w:rPr>
          <w:rFonts w:cs="Times New Roman"/>
          <w:szCs w:val="24"/>
        </w:rPr>
        <w:lastRenderedPageBreak/>
        <w:t xml:space="preserve">To integrate the JD-R and Holistic Stress model, we used guidance from prior literature on model integration provided by </w:t>
      </w:r>
      <w:r w:rsidRPr="00DA5AC5">
        <w:rPr>
          <w:rFonts w:cs="Times New Roman"/>
          <w:noProof/>
          <w:szCs w:val="24"/>
        </w:rPr>
        <w:t>Venkatesh et al. (2002)</w:t>
      </w:r>
      <w:r w:rsidRPr="00DA5AC5">
        <w:rPr>
          <w:rFonts w:cs="Times New Roman"/>
          <w:szCs w:val="24"/>
        </w:rPr>
        <w:t xml:space="preserve">. We first considered the key similarities and distinctions between the Holistic Stress Model and </w:t>
      </w:r>
      <w:r w:rsidR="008C726E">
        <w:rPr>
          <w:rFonts w:cs="Times New Roman"/>
          <w:szCs w:val="24"/>
        </w:rPr>
        <w:t xml:space="preserve">the </w:t>
      </w:r>
      <w:r w:rsidRPr="00DA5AC5">
        <w:rPr>
          <w:rFonts w:cs="Times New Roman"/>
          <w:szCs w:val="24"/>
        </w:rPr>
        <w:t>JD-R model. In terms of similarities, both the models are dual</w:t>
      </w:r>
      <w:r w:rsidR="008C726E">
        <w:rPr>
          <w:rFonts w:cs="Times New Roman"/>
          <w:szCs w:val="24"/>
        </w:rPr>
        <w:t xml:space="preserve"> </w:t>
      </w:r>
      <w:r w:rsidRPr="00DA5AC5">
        <w:rPr>
          <w:rFonts w:cs="Times New Roman"/>
          <w:szCs w:val="24"/>
        </w:rPr>
        <w:t>process models where the subprocesses are conceptually similar i.e.</w:t>
      </w:r>
      <w:r w:rsidR="008C726E">
        <w:rPr>
          <w:rFonts w:cs="Times New Roman"/>
          <w:szCs w:val="24"/>
        </w:rPr>
        <w:t>,</w:t>
      </w:r>
      <w:r w:rsidRPr="00DA5AC5">
        <w:rPr>
          <w:rFonts w:cs="Times New Roman"/>
          <w:szCs w:val="24"/>
        </w:rPr>
        <w:t xml:space="preserve"> motivational process in the JD-R model is similar to the eustress process in the Holistic Stress Model</w:t>
      </w:r>
      <w:r w:rsidR="008C726E">
        <w:rPr>
          <w:rFonts w:cs="Times New Roman"/>
          <w:szCs w:val="24"/>
        </w:rPr>
        <w:t xml:space="preserve">, </w:t>
      </w:r>
      <w:r w:rsidRPr="00DA5AC5">
        <w:rPr>
          <w:rFonts w:cs="Times New Roman"/>
          <w:szCs w:val="24"/>
        </w:rPr>
        <w:t>and the energy depletion process is equivalent to the distress process. Also, both models identify job satisfaction, well-being, etc.</w:t>
      </w:r>
      <w:r w:rsidR="008C726E">
        <w:rPr>
          <w:rFonts w:cs="Times New Roman"/>
          <w:szCs w:val="24"/>
        </w:rPr>
        <w:t xml:space="preserve">, </w:t>
      </w:r>
      <w:r w:rsidRPr="00DA5AC5">
        <w:rPr>
          <w:rFonts w:cs="Times New Roman"/>
          <w:szCs w:val="24"/>
        </w:rPr>
        <w:t xml:space="preserve">as positive outcomes, and health problems, absenteeism, etc. as negative outcomes </w:t>
      </w:r>
      <w:r w:rsidRPr="00DA5AC5">
        <w:rPr>
          <w:rFonts w:cs="Times New Roman"/>
          <w:noProof/>
          <w:szCs w:val="24"/>
        </w:rPr>
        <w:t>(Nelson &amp; Simmons, 2011; Schaufeli &amp; Taris, 2014; Simmons &amp; Nelson, 2007)</w:t>
      </w:r>
      <w:r w:rsidRPr="00DA5AC5">
        <w:rPr>
          <w:rFonts w:cs="Times New Roman"/>
          <w:szCs w:val="24"/>
        </w:rPr>
        <w:t xml:space="preserve">. </w:t>
      </w:r>
    </w:p>
    <w:p w14:paraId="1FE08500" w14:textId="6C2743C6" w:rsidR="003E5B95" w:rsidRPr="00DA5AC5" w:rsidRDefault="003E5B95" w:rsidP="003E5B95">
      <w:pPr>
        <w:contextualSpacing w:val="0"/>
        <w:rPr>
          <w:rFonts w:cs="Times New Roman"/>
          <w:szCs w:val="24"/>
        </w:rPr>
      </w:pPr>
      <w:r w:rsidRPr="00DA5AC5">
        <w:rPr>
          <w:rFonts w:cs="Times New Roman"/>
          <w:szCs w:val="24"/>
        </w:rPr>
        <w:t>In terms of distinctions, the JD-R model assumes an objective nature of demands, that demands have similar meanings to everyone. Conversely, the Holistic Stress Model suggests a subjective nature of demands, where individual traits are influential in determining the stressful nature of demands. Another distinction of the models is related to their responses to stress. The Holistic Stress Model asserts that because of positive psychological responses, individuals will engage in either savoring to enhance the effects of positive feelings or in coping to potentially remove the cause of stress or lessen its effects. However, the JD-R model suggests an energy depletion process in which stress leads to burnout and, ultimately, negative responses such as absenteeism, depression, or job turnover. It also suggests a motivational process in which stress drives work engagement and, ultimately, performance related outcomes as such as innovativeness</w:t>
      </w:r>
      <w:r w:rsidR="008C726E">
        <w:rPr>
          <w:rFonts w:cs="Times New Roman"/>
          <w:szCs w:val="24"/>
        </w:rPr>
        <w:t xml:space="preserve"> </w:t>
      </w:r>
      <w:r w:rsidRPr="00DA5AC5">
        <w:rPr>
          <w:rFonts w:cs="Times New Roman"/>
          <w:szCs w:val="24"/>
        </w:rPr>
        <w:t xml:space="preserve">or job satisfaction. </w:t>
      </w:r>
    </w:p>
    <w:p w14:paraId="035B260C" w14:textId="4DBBBCBF" w:rsidR="003E5B95" w:rsidRPr="00DA5AC5" w:rsidRDefault="003E5B95" w:rsidP="003E5B95">
      <w:pPr>
        <w:contextualSpacing w:val="0"/>
        <w:rPr>
          <w:rFonts w:cs="Times New Roman"/>
          <w:szCs w:val="24"/>
        </w:rPr>
      </w:pPr>
      <w:r w:rsidRPr="00DA5AC5">
        <w:rPr>
          <w:rFonts w:cs="Times New Roman"/>
          <w:szCs w:val="24"/>
        </w:rPr>
        <w:t>In creating the CTIM, we propose that cybersecurity professional’s reactions to job demands will start with their appraisal of the demands as either challenge or hindrance in nature. In either case, perceptions of burnout and work engagement are formed</w:t>
      </w:r>
      <w:r w:rsidR="008C726E">
        <w:rPr>
          <w:rFonts w:cs="Times New Roman"/>
          <w:szCs w:val="24"/>
        </w:rPr>
        <w:t xml:space="preserve"> </w:t>
      </w:r>
      <w:r w:rsidRPr="00DA5AC5">
        <w:rPr>
          <w:rFonts w:cs="Times New Roman"/>
          <w:szCs w:val="24"/>
        </w:rPr>
        <w:t>as a challenge</w:t>
      </w:r>
      <w:r w:rsidR="008C726E">
        <w:rPr>
          <w:rFonts w:cs="Times New Roman"/>
          <w:szCs w:val="24"/>
        </w:rPr>
        <w:t xml:space="preserve"> </w:t>
      </w:r>
      <w:r w:rsidRPr="00DA5AC5">
        <w:rPr>
          <w:rFonts w:cs="Times New Roman"/>
          <w:szCs w:val="24"/>
        </w:rPr>
        <w:t xml:space="preserve">and hindrance </w:t>
      </w:r>
      <w:r w:rsidRPr="00DA5AC5">
        <w:rPr>
          <w:rFonts w:cs="Times New Roman"/>
          <w:szCs w:val="24"/>
        </w:rPr>
        <w:lastRenderedPageBreak/>
        <w:t xml:space="preserve">stress perceptions. The extent to which these perceptions are formed is dependent upon not only the challenge or hindrance nature of the job demand but also the job and personal resources available to the professional. Lastly, we propose that turnover intention among cybersecurity professionals is the result of the interplay among their level of burnout, degree of work engagement, and the affective commitment they have to the cybersecurity profession. Figure </w:t>
      </w:r>
      <w:r>
        <w:rPr>
          <w:rFonts w:cs="Times New Roman"/>
          <w:szCs w:val="24"/>
        </w:rPr>
        <w:t>6</w:t>
      </w:r>
      <w:r w:rsidRPr="00DA5AC5">
        <w:rPr>
          <w:rFonts w:cs="Times New Roman"/>
          <w:szCs w:val="24"/>
        </w:rPr>
        <w:t xml:space="preserve"> presents the integrated model</w:t>
      </w:r>
      <w:r w:rsidR="008C726E">
        <w:rPr>
          <w:rFonts w:cs="Times New Roman"/>
          <w:szCs w:val="24"/>
        </w:rPr>
        <w:t xml:space="preserve">, </w:t>
      </w:r>
      <w:r w:rsidRPr="00DA5AC5">
        <w:rPr>
          <w:rFonts w:cs="Times New Roman"/>
          <w:szCs w:val="24"/>
        </w:rPr>
        <w:t xml:space="preserve">and Appendix </w:t>
      </w:r>
      <w:r w:rsidR="00C46BBC">
        <w:rPr>
          <w:rFonts w:cs="Times New Roman"/>
          <w:szCs w:val="24"/>
        </w:rPr>
        <w:t>L</w:t>
      </w:r>
      <w:r>
        <w:rPr>
          <w:rFonts w:cs="Times New Roman"/>
          <w:szCs w:val="24"/>
        </w:rPr>
        <w:t>.1</w:t>
      </w:r>
      <w:r w:rsidRPr="00DA5AC5">
        <w:rPr>
          <w:rFonts w:cs="Times New Roman"/>
          <w:szCs w:val="24"/>
        </w:rPr>
        <w:t xml:space="preserve"> lists the definitions of the constructs in the model. </w:t>
      </w:r>
    </w:p>
    <w:p w14:paraId="5ACF540E" w14:textId="77777777" w:rsidR="003E5B95" w:rsidRPr="00DA5AC5" w:rsidRDefault="003E5B95" w:rsidP="003E5B95">
      <w:pPr>
        <w:spacing w:line="240" w:lineRule="auto"/>
        <w:ind w:firstLine="0"/>
        <w:contextualSpacing w:val="0"/>
        <w:rPr>
          <w:rFonts w:eastAsia="Times New Roman" w:cs="Times New Roman"/>
          <w:kern w:val="0"/>
          <w:szCs w:val="24"/>
          <w:lang w:eastAsia="en-US"/>
        </w:rPr>
      </w:pPr>
    </w:p>
    <w:p w14:paraId="5ED871AE" w14:textId="77777777" w:rsidR="003E5B95" w:rsidRDefault="003E5B95" w:rsidP="003E5B95">
      <w:pPr>
        <w:pStyle w:val="Caption"/>
        <w:keepNext/>
        <w:spacing w:line="480" w:lineRule="auto"/>
        <w:rPr>
          <w:sz w:val="24"/>
          <w:szCs w:val="24"/>
        </w:rPr>
      </w:pPr>
      <w:bookmarkStart w:id="345" w:name="_Toc73955282"/>
      <w:r w:rsidRPr="00A251DE">
        <w:rPr>
          <w:sz w:val="24"/>
          <w:szCs w:val="24"/>
        </w:rPr>
        <w:t xml:space="preserve">Figure </w:t>
      </w:r>
      <w:r w:rsidRPr="00A251DE">
        <w:rPr>
          <w:sz w:val="24"/>
          <w:szCs w:val="24"/>
        </w:rPr>
        <w:fldChar w:fldCharType="begin"/>
      </w:r>
      <w:r w:rsidRPr="00A251DE">
        <w:rPr>
          <w:sz w:val="24"/>
          <w:szCs w:val="24"/>
        </w:rPr>
        <w:instrText xml:space="preserve"> SEQ Figure \* ARABIC </w:instrText>
      </w:r>
      <w:r w:rsidRPr="00A251DE">
        <w:rPr>
          <w:sz w:val="24"/>
          <w:szCs w:val="24"/>
        </w:rPr>
        <w:fldChar w:fldCharType="separate"/>
      </w:r>
      <w:r w:rsidRPr="00A251DE">
        <w:rPr>
          <w:noProof/>
          <w:sz w:val="24"/>
          <w:szCs w:val="24"/>
        </w:rPr>
        <w:t>6</w:t>
      </w:r>
      <w:r w:rsidRPr="00A251DE">
        <w:rPr>
          <w:noProof/>
          <w:sz w:val="24"/>
          <w:szCs w:val="24"/>
        </w:rPr>
        <w:fldChar w:fldCharType="end"/>
      </w:r>
      <w:r w:rsidRPr="00A251DE">
        <w:rPr>
          <w:sz w:val="24"/>
          <w:szCs w:val="24"/>
        </w:rPr>
        <w:t xml:space="preserve"> </w:t>
      </w:r>
    </w:p>
    <w:p w14:paraId="308DFCD3" w14:textId="77777777" w:rsidR="003E5B95" w:rsidRPr="00A251DE" w:rsidRDefault="003E5B95" w:rsidP="003E5B95">
      <w:pPr>
        <w:pStyle w:val="Caption"/>
        <w:keepNext/>
        <w:spacing w:line="480" w:lineRule="auto"/>
        <w:rPr>
          <w:b w:val="0"/>
          <w:bCs/>
          <w:i/>
          <w:iCs w:val="0"/>
          <w:sz w:val="24"/>
          <w:szCs w:val="24"/>
        </w:rPr>
      </w:pPr>
      <w:r w:rsidRPr="00A251DE">
        <w:rPr>
          <w:b w:val="0"/>
          <w:bCs/>
          <w:i/>
          <w:iCs w:val="0"/>
          <w:sz w:val="24"/>
          <w:szCs w:val="24"/>
        </w:rPr>
        <w:t>Cybersecurity Turnover Intention Model</w:t>
      </w:r>
      <w:bookmarkEnd w:id="345"/>
    </w:p>
    <w:p w14:paraId="5228F19C" w14:textId="77777777" w:rsidR="003E5B95" w:rsidRPr="00DA5AC5" w:rsidRDefault="003E5B95" w:rsidP="003E5B95">
      <w:pPr>
        <w:spacing w:line="240" w:lineRule="auto"/>
        <w:ind w:firstLine="0"/>
        <w:contextualSpacing w:val="0"/>
        <w:rPr>
          <w:rFonts w:eastAsia="Times New Roman" w:cs="Times New Roman"/>
          <w:kern w:val="0"/>
          <w:szCs w:val="24"/>
          <w:lang w:eastAsia="en-US"/>
        </w:rPr>
      </w:pPr>
      <w:r w:rsidRPr="00DA5AC5">
        <w:rPr>
          <w:rFonts w:eastAsia="Times New Roman" w:cs="Times New Roman"/>
          <w:noProof/>
          <w:kern w:val="0"/>
          <w:szCs w:val="24"/>
          <w:lang w:eastAsia="en-US"/>
        </w:rPr>
        <w:drawing>
          <wp:inline distT="0" distB="0" distL="0" distR="0" wp14:anchorId="5587DCD6" wp14:editId="582FE272">
            <wp:extent cx="5577840" cy="4090416"/>
            <wp:effectExtent l="38100" t="38100" r="41910" b="43815"/>
            <wp:docPr id="4" name="Picture 4"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581931" cy="4093416"/>
                    </a:xfrm>
                    <a:prstGeom prst="rect">
                      <a:avLst/>
                    </a:prstGeom>
                    <a:ln w="25400">
                      <a:solidFill>
                        <a:sysClr val="windowText" lastClr="000000"/>
                      </a:solidFill>
                    </a:ln>
                  </pic:spPr>
                </pic:pic>
              </a:graphicData>
            </a:graphic>
          </wp:inline>
        </w:drawing>
      </w:r>
    </w:p>
    <w:p w14:paraId="07C9C80A" w14:textId="77777777" w:rsidR="003E5B95" w:rsidRDefault="003E5B95" w:rsidP="003E5B95">
      <w:pPr>
        <w:contextualSpacing w:val="0"/>
        <w:rPr>
          <w:rFonts w:cs="Times New Roman"/>
          <w:szCs w:val="24"/>
        </w:rPr>
      </w:pPr>
    </w:p>
    <w:p w14:paraId="630BDD5B" w14:textId="6C20AEC0" w:rsidR="003E5B95" w:rsidRPr="00DA5AC5" w:rsidRDefault="003E5B95" w:rsidP="003E5B95">
      <w:pPr>
        <w:contextualSpacing w:val="0"/>
        <w:rPr>
          <w:rFonts w:cs="Times New Roman"/>
          <w:szCs w:val="24"/>
        </w:rPr>
      </w:pPr>
      <w:r w:rsidRPr="00DA5AC5">
        <w:rPr>
          <w:rFonts w:cs="Times New Roman"/>
          <w:szCs w:val="24"/>
        </w:rPr>
        <w:lastRenderedPageBreak/>
        <w:t>Please note that in this model</w:t>
      </w:r>
      <w:r w:rsidR="008C726E">
        <w:rPr>
          <w:rFonts w:cs="Times New Roman"/>
          <w:szCs w:val="24"/>
        </w:rPr>
        <w:t>,</w:t>
      </w:r>
      <w:r w:rsidRPr="00DA5AC5">
        <w:rPr>
          <w:rFonts w:cs="Times New Roman"/>
          <w:szCs w:val="24"/>
        </w:rPr>
        <w:t xml:space="preserve"> we focus on turnover intention as the dependent variable, as opposed to actual turnover. This decision to focus on intention is consistent with the prior studies of turnover in IS </w:t>
      </w:r>
      <w:r w:rsidRPr="00DA5AC5">
        <w:rPr>
          <w:rFonts w:cs="Times New Roman"/>
          <w:noProof/>
          <w:szCs w:val="24"/>
        </w:rPr>
        <w:t>(Ahuja et al., 2007; Armstrong et al., 2015; Joseph et al., 2015; McKnight et al., 2009; Moore, 2000; Thatcher et al., 2002)</w:t>
      </w:r>
      <w:r w:rsidRPr="00DA5AC5">
        <w:rPr>
          <w:rFonts w:cs="Times New Roman"/>
          <w:szCs w:val="24"/>
        </w:rPr>
        <w:t xml:space="preserve">. Because intentions are established as an important precursor of actual behavior, a meta-analysis of turnover studies in IS, showed that 31 studies out of 33 used turnover intention instead of actual turnover </w:t>
      </w:r>
      <w:r w:rsidRPr="00DA5AC5">
        <w:rPr>
          <w:rFonts w:cs="Times New Roman"/>
          <w:noProof/>
          <w:szCs w:val="24"/>
        </w:rPr>
        <w:t>(Joseph et al., 2007)</w:t>
      </w:r>
      <w:r w:rsidRPr="00DA5AC5">
        <w:rPr>
          <w:rFonts w:cs="Times New Roman"/>
          <w:szCs w:val="24"/>
        </w:rPr>
        <w:t xml:space="preserve">. Among IT professionals, turnover intention has been found as a significant predictor of actual turnover </w:t>
      </w:r>
      <w:r w:rsidRPr="00DA5AC5">
        <w:rPr>
          <w:rFonts w:cs="Times New Roman"/>
          <w:noProof/>
          <w:szCs w:val="24"/>
        </w:rPr>
        <w:t>(Thatcher et al., 2002)</w:t>
      </w:r>
      <w:r w:rsidRPr="00DA5AC5">
        <w:rPr>
          <w:rFonts w:cs="Times New Roman"/>
          <w:szCs w:val="24"/>
        </w:rPr>
        <w:t xml:space="preserve">. Similarly, information security research has heavily relied on intention as a proxy for actual behavior. A recent meta-analysis of the information security research also shows that the results of studies having compliance intention compared with those that capture actual compliance have comparable results </w:t>
      </w:r>
      <w:r w:rsidRPr="00DA5AC5">
        <w:rPr>
          <w:rFonts w:cs="Times New Roman"/>
          <w:noProof/>
          <w:szCs w:val="24"/>
        </w:rPr>
        <w:t>(Cram et al., 2019)</w:t>
      </w:r>
      <w:r w:rsidRPr="00DA5AC5">
        <w:rPr>
          <w:rFonts w:cs="Times New Roman"/>
          <w:szCs w:val="24"/>
        </w:rPr>
        <w:t xml:space="preserve">. </w:t>
      </w:r>
    </w:p>
    <w:p w14:paraId="5937CEF6" w14:textId="12CB5798" w:rsidR="003E5B95" w:rsidRPr="00DA5AC5" w:rsidRDefault="003E5B95" w:rsidP="003E5B95">
      <w:pPr>
        <w:contextualSpacing w:val="0"/>
        <w:rPr>
          <w:rFonts w:cs="Times New Roman"/>
          <w:szCs w:val="24"/>
        </w:rPr>
      </w:pPr>
      <w:r w:rsidRPr="00DA5AC5">
        <w:rPr>
          <w:rFonts w:cs="Times New Roman"/>
          <w:szCs w:val="24"/>
        </w:rPr>
        <w:t xml:space="preserve">The relationships of job-related factors and individual-level factors with turnover have been extensively studied and are not unique to the information technology sector </w:t>
      </w:r>
      <w:r w:rsidRPr="00DA5AC5">
        <w:rPr>
          <w:rFonts w:cs="Times New Roman"/>
          <w:noProof/>
          <w:szCs w:val="24"/>
        </w:rPr>
        <w:t>(Lo, 2015)</w:t>
      </w:r>
      <w:r w:rsidRPr="00DA5AC5">
        <w:rPr>
          <w:rFonts w:cs="Times New Roman"/>
          <w:szCs w:val="24"/>
        </w:rPr>
        <w:t xml:space="preserve">. For example, the relationship between work exhaustion (a dimension of burnout) and job turnover/turn-away intention has been previously established in the IS literature </w:t>
      </w:r>
      <w:r w:rsidRPr="00DA5AC5">
        <w:rPr>
          <w:rFonts w:cs="Times New Roman"/>
          <w:noProof/>
          <w:szCs w:val="24"/>
        </w:rPr>
        <w:t>(Ahuja et al., 2007; Armstrong et al., 2015; Moore, 2000)</w:t>
      </w:r>
      <w:r w:rsidRPr="00DA5AC5">
        <w:rPr>
          <w:rFonts w:cs="Times New Roman"/>
          <w:szCs w:val="24"/>
        </w:rPr>
        <w:t xml:space="preserve">. So, what makes turnover in the cybersecurity profession distinguishable from other workforce studies? To start with, there are certain aspects of cybersecurity jobs that are </w:t>
      </w:r>
      <w:r w:rsidR="00BD20CA" w:rsidRPr="00DA5AC5">
        <w:rPr>
          <w:rFonts w:cs="Times New Roman"/>
          <w:szCs w:val="24"/>
        </w:rPr>
        <w:t>unique,</w:t>
      </w:r>
      <w:r w:rsidR="008C726E">
        <w:rPr>
          <w:rFonts w:cs="Times New Roman"/>
          <w:szCs w:val="24"/>
        </w:rPr>
        <w:t xml:space="preserve"> </w:t>
      </w:r>
      <w:r w:rsidRPr="00DA5AC5">
        <w:rPr>
          <w:rFonts w:cs="Times New Roman"/>
          <w:szCs w:val="24"/>
        </w:rPr>
        <w:t xml:space="preserve">and which make these jobs inherently stressful compared to the other IT profession. For example, the work performed by cybersecurity professionals is unique in the sense that it </w:t>
      </w:r>
      <w:proofErr w:type="gramStart"/>
      <w:r w:rsidRPr="00DA5AC5">
        <w:rPr>
          <w:rFonts w:cs="Times New Roman"/>
          <w:szCs w:val="24"/>
        </w:rPr>
        <w:t>requires them to be vigilant and alert at all times</w:t>
      </w:r>
      <w:proofErr w:type="gramEnd"/>
      <w:r w:rsidRPr="00DA5AC5">
        <w:rPr>
          <w:rFonts w:cs="Times New Roman"/>
          <w:szCs w:val="24"/>
        </w:rPr>
        <w:t xml:space="preserve"> in order to prevent cyber-attacks </w:t>
      </w:r>
      <w:r w:rsidRPr="00DA5AC5">
        <w:rPr>
          <w:rFonts w:cs="Times New Roman"/>
          <w:noProof/>
          <w:szCs w:val="24"/>
        </w:rPr>
        <w:t>(Newhouse et al., 2017)</w:t>
      </w:r>
      <w:r w:rsidRPr="00DA5AC5">
        <w:rPr>
          <w:rFonts w:cs="Times New Roman"/>
          <w:szCs w:val="24"/>
        </w:rPr>
        <w:t xml:space="preserve">. Negligence and mistakes on the part of cybersecurity professionals can be expensive and highly visible if a cyber threat materializes in the form of a data breach </w:t>
      </w:r>
      <w:r w:rsidRPr="00DA5AC5">
        <w:rPr>
          <w:rFonts w:cs="Times New Roman"/>
          <w:noProof/>
          <w:szCs w:val="24"/>
        </w:rPr>
        <w:t>(Dykstra &amp; Paul, 2018)</w:t>
      </w:r>
      <w:r w:rsidRPr="00DA5AC5">
        <w:rPr>
          <w:rFonts w:cs="Times New Roman"/>
          <w:szCs w:val="24"/>
        </w:rPr>
        <w:t xml:space="preserve">. Thus, the nature of cybersecurity jobs is inherently </w:t>
      </w:r>
      <w:r w:rsidRPr="00DA5AC5">
        <w:rPr>
          <w:rFonts w:cs="Times New Roman"/>
          <w:szCs w:val="24"/>
        </w:rPr>
        <w:lastRenderedPageBreak/>
        <w:t xml:space="preserve">demanding, complex, and time-intensive, which leads to a high rate of burnout and turnover among cybersecurity professionals </w:t>
      </w:r>
      <w:r w:rsidRPr="00DA5AC5">
        <w:rPr>
          <w:rFonts w:cs="Times New Roman"/>
          <w:noProof/>
          <w:szCs w:val="24"/>
        </w:rPr>
        <w:t>(Wolff, 2019)</w:t>
      </w:r>
      <w:r w:rsidRPr="00DA5AC5">
        <w:rPr>
          <w:rFonts w:cs="Times New Roman"/>
          <w:szCs w:val="24"/>
        </w:rPr>
        <w:t xml:space="preserve">. Prior research with IT workers has shown that work exhaustion (the component of burnout, primarily studied in IS) is one of the significant contributors to turnover intentions among IT professionals </w:t>
      </w:r>
      <w:r w:rsidRPr="00DA5AC5">
        <w:rPr>
          <w:rFonts w:cs="Times New Roman"/>
          <w:noProof/>
          <w:szCs w:val="24"/>
        </w:rPr>
        <w:t>(Ahuja et al., 2007; Moore, 2000)</w:t>
      </w:r>
      <w:r w:rsidRPr="00DA5AC5">
        <w:rPr>
          <w:rFonts w:cs="Times New Roman"/>
          <w:szCs w:val="24"/>
        </w:rPr>
        <w:t>. Considering the skill gap and workforce shortage in cybersecurity</w:t>
      </w:r>
      <w:r w:rsidR="008C726E">
        <w:rPr>
          <w:rFonts w:cs="Times New Roman"/>
          <w:szCs w:val="24"/>
        </w:rPr>
        <w:t>,</w:t>
      </w:r>
      <w:r w:rsidRPr="00DA5AC5">
        <w:rPr>
          <w:rFonts w:cs="Times New Roman"/>
          <w:szCs w:val="24"/>
        </w:rPr>
        <w:t xml:space="preserve"> it is not unrealistic to believe that more critical projects (such as cybersecurity initiatives) are assigned to the more experienced and highly regarded employees. In such a case, these highly valued employees are more likely to get exhausted and experience burnout more frequently than others </w:t>
      </w:r>
      <w:r w:rsidRPr="00DA5AC5">
        <w:rPr>
          <w:rFonts w:cs="Times New Roman"/>
          <w:noProof/>
          <w:szCs w:val="24"/>
        </w:rPr>
        <w:t>(Moore, 2000)</w:t>
      </w:r>
      <w:r w:rsidRPr="00DA5AC5">
        <w:rPr>
          <w:rFonts w:cs="Times New Roman"/>
          <w:szCs w:val="24"/>
        </w:rPr>
        <w:t xml:space="preserve">. </w:t>
      </w:r>
    </w:p>
    <w:p w14:paraId="4D0BAA94"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H1: Burnout among cybersecurity professionals positively relates to their job turnover intentions. </w:t>
      </w:r>
    </w:p>
    <w:p w14:paraId="539BC93B" w14:textId="77777777" w:rsidR="003E5B95" w:rsidRPr="00DA5AC5" w:rsidRDefault="003E5B95" w:rsidP="003E5B95">
      <w:pPr>
        <w:contextualSpacing w:val="0"/>
        <w:rPr>
          <w:rFonts w:cs="Times New Roman"/>
          <w:szCs w:val="24"/>
        </w:rPr>
      </w:pPr>
      <w:r w:rsidRPr="00DA5AC5">
        <w:rPr>
          <w:rFonts w:cs="Times New Roman"/>
          <w:szCs w:val="24"/>
        </w:rPr>
        <w:t xml:space="preserve">As opposed to burnout, some employees have an energetic and affective connection with their work and find themselves energized in dealing with the challenges and demands of their jobs </w:t>
      </w:r>
      <w:r w:rsidRPr="00DA5AC5">
        <w:rPr>
          <w:rFonts w:cs="Times New Roman"/>
          <w:noProof/>
          <w:szCs w:val="24"/>
        </w:rPr>
        <w:t>(Schaufeli et al., 2008)</w:t>
      </w:r>
      <w:r w:rsidRPr="00DA5AC5">
        <w:rPr>
          <w:rFonts w:cs="Times New Roman"/>
          <w:szCs w:val="24"/>
        </w:rPr>
        <w:t xml:space="preserve">. Such employees have a high level of work engagement and perform better than their less engaged counterparts and are able to find/develop better solutions due to the connection they have with their work </w:t>
      </w:r>
      <w:r w:rsidRPr="00DA5AC5">
        <w:rPr>
          <w:rFonts w:cs="Times New Roman"/>
          <w:noProof/>
          <w:szCs w:val="24"/>
        </w:rPr>
        <w:t>(Kim et al., 2019; Schaufeli &amp; Bakker, 2004; Schaufeli et al., 2002)</w:t>
      </w:r>
      <w:r w:rsidRPr="00DA5AC5">
        <w:rPr>
          <w:rFonts w:cs="Times New Roman"/>
          <w:szCs w:val="24"/>
        </w:rPr>
        <w:t xml:space="preserve">. For example, a cybersecurity professional working on developing application security may find his job engaging as he aims to prevent security vulnerabilities in the application code. Engaged employees find their work (1) stimulating and energetic and something to which they want to devote their time and efforts (vigor), (2) engrossing and something on which they want to fully concentrate (absorption), and (3) a significant and meaningful pursuit (dedication) </w:t>
      </w:r>
      <w:r w:rsidRPr="00DA5AC5">
        <w:rPr>
          <w:rFonts w:cs="Times New Roman"/>
          <w:noProof/>
          <w:szCs w:val="24"/>
        </w:rPr>
        <w:t>(Bakker et al., 2011; Schaufeli et al., 2002; Seppälä et al., 2008)</w:t>
      </w:r>
      <w:r w:rsidRPr="00DA5AC5">
        <w:rPr>
          <w:rFonts w:cs="Times New Roman"/>
          <w:szCs w:val="24"/>
        </w:rPr>
        <w:t xml:space="preserve">. A cybersecurity professional’s work engagement is crucial to the mitigation of risks and threats to their organization </w:t>
      </w:r>
      <w:r w:rsidRPr="00DA5AC5">
        <w:rPr>
          <w:rFonts w:cs="Times New Roman"/>
          <w:noProof/>
          <w:szCs w:val="24"/>
        </w:rPr>
        <w:t>(Posey et al., 2014)</w:t>
      </w:r>
      <w:r w:rsidRPr="00DA5AC5">
        <w:rPr>
          <w:rFonts w:cs="Times New Roman"/>
          <w:szCs w:val="24"/>
        </w:rPr>
        <w:t xml:space="preserve">. Here an engaged (cybersecurity) professional </w:t>
      </w:r>
      <w:proofErr w:type="gramStart"/>
      <w:r w:rsidRPr="00DA5AC5">
        <w:rPr>
          <w:rFonts w:cs="Times New Roman"/>
          <w:szCs w:val="24"/>
        </w:rPr>
        <w:t>can be seen as</w:t>
      </w:r>
      <w:proofErr w:type="gramEnd"/>
      <w:r w:rsidRPr="00DA5AC5">
        <w:rPr>
          <w:rFonts w:cs="Times New Roman"/>
          <w:szCs w:val="24"/>
        </w:rPr>
        <w:t xml:space="preserve"> a ‘builder,’ willing to </w:t>
      </w:r>
      <w:r w:rsidRPr="00DA5AC5">
        <w:rPr>
          <w:rFonts w:cs="Times New Roman"/>
          <w:szCs w:val="24"/>
        </w:rPr>
        <w:lastRenderedPageBreak/>
        <w:t xml:space="preserve">meet or exceed the expectations of his/her job role </w:t>
      </w:r>
      <w:r w:rsidRPr="00DA5AC5">
        <w:rPr>
          <w:rFonts w:cs="Times New Roman"/>
          <w:noProof/>
          <w:szCs w:val="24"/>
        </w:rPr>
        <w:t>(Welch, 2011)</w:t>
      </w:r>
      <w:r w:rsidRPr="00DA5AC5">
        <w:rPr>
          <w:rFonts w:cs="Times New Roman"/>
          <w:szCs w:val="24"/>
        </w:rPr>
        <w:t xml:space="preserve">. These professionals are the critical talent for an organization to retain because their departure may put an organization in a high strain situation </w:t>
      </w:r>
      <w:r w:rsidRPr="00DA5AC5">
        <w:rPr>
          <w:rFonts w:cs="Times New Roman"/>
          <w:noProof/>
          <w:szCs w:val="24"/>
        </w:rPr>
        <w:t>(Lo, 2015)</w:t>
      </w:r>
      <w:r w:rsidRPr="00DA5AC5">
        <w:rPr>
          <w:rFonts w:cs="Times New Roman"/>
          <w:szCs w:val="24"/>
        </w:rPr>
        <w:t xml:space="preserve">. </w:t>
      </w:r>
    </w:p>
    <w:p w14:paraId="1A83B1A1"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H2: Work engagement among cybersecurity professionals negatively relates to their job turnover intentions. </w:t>
      </w:r>
    </w:p>
    <w:p w14:paraId="4942351F" w14:textId="77777777" w:rsidR="003E5B95" w:rsidRPr="00DA5AC5" w:rsidRDefault="003E5B95" w:rsidP="003E5B95">
      <w:pPr>
        <w:contextualSpacing w:val="0"/>
        <w:rPr>
          <w:rFonts w:cs="Times New Roman"/>
          <w:szCs w:val="24"/>
        </w:rPr>
      </w:pPr>
      <w:r w:rsidRPr="00DA5AC5">
        <w:rPr>
          <w:rFonts w:cs="Times New Roman"/>
          <w:szCs w:val="24"/>
        </w:rPr>
        <w:t xml:space="preserve">Affective commitment to one’s profession is defined as an individual’s positive emotional attachment to their profession and has been established as a precursor to turnover intention </w:t>
      </w:r>
      <w:r w:rsidRPr="00DA5AC5">
        <w:rPr>
          <w:rFonts w:cs="Times New Roman"/>
          <w:noProof/>
          <w:szCs w:val="24"/>
        </w:rPr>
        <w:t>(Armstrong et al., 2015)</w:t>
      </w:r>
      <w:r w:rsidRPr="00DA5AC5">
        <w:rPr>
          <w:rFonts w:cs="Times New Roman"/>
          <w:szCs w:val="24"/>
        </w:rPr>
        <w:t xml:space="preserve">. A similar relationship exists between organizational commitment and turnover intention </w:t>
      </w:r>
      <w:r w:rsidRPr="00DA5AC5">
        <w:rPr>
          <w:rFonts w:cs="Times New Roman"/>
          <w:noProof/>
          <w:szCs w:val="24"/>
        </w:rPr>
        <w:t>(Ahuja et al., 2007)</w:t>
      </w:r>
      <w:r w:rsidRPr="00DA5AC5">
        <w:rPr>
          <w:rFonts w:cs="Times New Roman"/>
          <w:szCs w:val="24"/>
        </w:rPr>
        <w:t xml:space="preserve">. We further extend this relationship in the context of cybersecurity professionals and hypothesize that a similar relation should exist between burnout and one’s affective commitment to the cybersecurity profession because a cybersecurity professional experiencing burnout will be disappointed and less attached to his/her work. </w:t>
      </w:r>
    </w:p>
    <w:p w14:paraId="0BFCB29E" w14:textId="77777777" w:rsidR="003E5B95" w:rsidRPr="00781B12" w:rsidRDefault="003E5B95" w:rsidP="003E5B95">
      <w:pPr>
        <w:ind w:left="360" w:firstLine="0"/>
        <w:rPr>
          <w:rFonts w:cs="Times New Roman"/>
          <w:b/>
          <w:bCs/>
          <w:i/>
          <w:szCs w:val="24"/>
        </w:rPr>
      </w:pPr>
      <w:r w:rsidRPr="00781B12">
        <w:rPr>
          <w:rFonts w:cs="Times New Roman"/>
          <w:b/>
          <w:bCs/>
          <w:i/>
          <w:szCs w:val="24"/>
        </w:rPr>
        <w:t>H3: Burnout among cybersecurity professionals is negatively related to their affective commitment to the cybersecurity profession.</w:t>
      </w:r>
    </w:p>
    <w:p w14:paraId="785D0E65" w14:textId="77777777" w:rsidR="003E5B95" w:rsidRPr="00DA5AC5" w:rsidRDefault="003E5B95" w:rsidP="003E5B95">
      <w:pPr>
        <w:contextualSpacing w:val="0"/>
        <w:rPr>
          <w:rFonts w:cs="Times New Roman"/>
          <w:szCs w:val="24"/>
        </w:rPr>
      </w:pPr>
      <w:r w:rsidRPr="00DA5AC5">
        <w:rPr>
          <w:rFonts w:cs="Times New Roman"/>
          <w:szCs w:val="24"/>
        </w:rPr>
        <w:t xml:space="preserve">Also, prior literature has theorized the mediating role of affective commitment in the relationship between work exhaustion and turnover intention </w:t>
      </w:r>
      <w:r w:rsidRPr="00DA5AC5">
        <w:rPr>
          <w:rFonts w:cs="Times New Roman"/>
          <w:noProof/>
          <w:szCs w:val="24"/>
        </w:rPr>
        <w:t>(Ahuja et al., 2007)</w:t>
      </w:r>
      <w:r w:rsidRPr="00DA5AC5">
        <w:rPr>
          <w:rFonts w:cs="Times New Roman"/>
          <w:szCs w:val="24"/>
        </w:rPr>
        <w:t xml:space="preserve">. With work exhaustion serving as a dimension of burnout, we believe affective commitment will serve a similar mediating role between burnout and turnover intention. </w:t>
      </w:r>
    </w:p>
    <w:p w14:paraId="24FE1EF8"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H4: Cybersecurity professionals’ affective commitment to their profession will mediate the relationship between burnout and turnover intention. </w:t>
      </w:r>
    </w:p>
    <w:p w14:paraId="43F6E7AF" w14:textId="4FC29EDC" w:rsidR="003E5B95" w:rsidRPr="00DA5AC5" w:rsidRDefault="003E5B95" w:rsidP="003E5B95">
      <w:pPr>
        <w:contextualSpacing w:val="0"/>
        <w:rPr>
          <w:rFonts w:cs="Times New Roman"/>
          <w:szCs w:val="24"/>
        </w:rPr>
      </w:pPr>
      <w:r w:rsidRPr="00DA5AC5">
        <w:rPr>
          <w:rFonts w:cs="Times New Roman"/>
          <w:szCs w:val="24"/>
        </w:rPr>
        <w:t xml:space="preserve">Stress generated as a result of job demands can be categorized as either challenge stress or hindrance stress depending on whether the demand is appraised as promoting or hindering personal growth, mastery, and future gains </w:t>
      </w:r>
      <w:r w:rsidRPr="00DA5AC5">
        <w:rPr>
          <w:rFonts w:cs="Times New Roman"/>
          <w:noProof/>
          <w:szCs w:val="24"/>
        </w:rPr>
        <w:t>(Cavanaugh et al., 2000; LePine et al., 2004)</w:t>
      </w:r>
      <w:r w:rsidRPr="00DA5AC5">
        <w:rPr>
          <w:rFonts w:cs="Times New Roman"/>
          <w:szCs w:val="24"/>
        </w:rPr>
        <w:t xml:space="preserve">. </w:t>
      </w:r>
      <w:r w:rsidRPr="00DA5AC5">
        <w:rPr>
          <w:rFonts w:cs="Times New Roman"/>
          <w:szCs w:val="24"/>
        </w:rPr>
        <w:lastRenderedPageBreak/>
        <w:t xml:space="preserve">Regardless of the stress type, work exhaustion develops first in the burnout process where an individual feels a lack of energy and depletion of resources </w:t>
      </w:r>
      <w:r w:rsidRPr="00DA5AC5">
        <w:rPr>
          <w:rFonts w:cs="Times New Roman"/>
          <w:noProof/>
          <w:szCs w:val="24"/>
        </w:rPr>
        <w:t>(Leiter &amp; Maslach, 1988; LePine et al., 2004)</w:t>
      </w:r>
      <w:r w:rsidRPr="00DA5AC5">
        <w:rPr>
          <w:rFonts w:cs="Times New Roman"/>
          <w:szCs w:val="24"/>
        </w:rPr>
        <w:t xml:space="preserve">. Challenge and hindrance stress both cause an individual to remain in a sustained level of arousal and information processing </w:t>
      </w:r>
      <w:proofErr w:type="gramStart"/>
      <w:r w:rsidRPr="00DA5AC5">
        <w:rPr>
          <w:rFonts w:cs="Times New Roman"/>
          <w:szCs w:val="24"/>
        </w:rPr>
        <w:t>in order to</w:t>
      </w:r>
      <w:proofErr w:type="gramEnd"/>
      <w:r w:rsidRPr="00DA5AC5">
        <w:rPr>
          <w:rFonts w:cs="Times New Roman"/>
          <w:szCs w:val="24"/>
        </w:rPr>
        <w:t xml:space="preserve"> cope with job demands. This sustained cognitive effort results in work exhaustion </w:t>
      </w:r>
      <w:r w:rsidRPr="00DA5AC5">
        <w:rPr>
          <w:rFonts w:cs="Times New Roman"/>
          <w:noProof/>
          <w:szCs w:val="24"/>
        </w:rPr>
        <w:t>(Cooper et al., 2001)</w:t>
      </w:r>
      <w:r w:rsidRPr="00DA5AC5">
        <w:rPr>
          <w:rFonts w:cs="Times New Roman"/>
          <w:szCs w:val="24"/>
        </w:rPr>
        <w:t>. Cybersecurity professionals need to remain vigilant and alert all the time to</w:t>
      </w:r>
      <w:r w:rsidR="00781B12">
        <w:rPr>
          <w:rFonts w:cs="Times New Roman"/>
          <w:szCs w:val="24"/>
        </w:rPr>
        <w:t xml:space="preserve"> not only </w:t>
      </w:r>
      <w:r w:rsidRPr="00DA5AC5">
        <w:rPr>
          <w:rFonts w:cs="Times New Roman"/>
          <w:szCs w:val="24"/>
        </w:rPr>
        <w:t>conquer the threats posed by their organization’s adversaries</w:t>
      </w:r>
      <w:r w:rsidR="00781B12">
        <w:rPr>
          <w:rFonts w:cs="Times New Roman"/>
          <w:szCs w:val="24"/>
        </w:rPr>
        <w:t xml:space="preserve"> </w:t>
      </w:r>
      <w:r w:rsidRPr="00DA5AC5">
        <w:rPr>
          <w:rFonts w:cs="Times New Roman"/>
          <w:szCs w:val="24"/>
        </w:rPr>
        <w:t xml:space="preserve">but also the intentional and unintentional threats caused by their organization’s employees, known as insiders </w:t>
      </w:r>
      <w:r w:rsidRPr="00DA5AC5">
        <w:rPr>
          <w:rFonts w:cs="Times New Roman"/>
          <w:noProof/>
          <w:szCs w:val="24"/>
        </w:rPr>
        <w:t>(Posey et al., 2014; Warkentin &amp; Willison, 2009)</w:t>
      </w:r>
      <w:r w:rsidRPr="00DA5AC5">
        <w:rPr>
          <w:rFonts w:cs="Times New Roman"/>
          <w:szCs w:val="24"/>
        </w:rPr>
        <w:t xml:space="preserve">. Such a constant state of arousal enhances a cybersecurity professional’s perceptions of burnout, even if the stress is positive, motivating, </w:t>
      </w:r>
      <w:r w:rsidR="00781B12">
        <w:rPr>
          <w:rFonts w:cs="Times New Roman"/>
          <w:szCs w:val="24"/>
        </w:rPr>
        <w:t xml:space="preserve">and </w:t>
      </w:r>
      <w:r w:rsidRPr="00DA5AC5">
        <w:rPr>
          <w:rFonts w:cs="Times New Roman"/>
          <w:szCs w:val="24"/>
        </w:rPr>
        <w:t>challeng</w:t>
      </w:r>
      <w:r w:rsidR="00781B12">
        <w:rPr>
          <w:rFonts w:cs="Times New Roman"/>
          <w:szCs w:val="24"/>
        </w:rPr>
        <w:t>ing.</w:t>
      </w:r>
    </w:p>
    <w:p w14:paraId="72230B60" w14:textId="77777777" w:rsidR="003E5B95" w:rsidRPr="00781B12" w:rsidRDefault="003E5B95" w:rsidP="003E5B95">
      <w:pPr>
        <w:ind w:left="360" w:firstLine="0"/>
        <w:rPr>
          <w:rFonts w:cs="Times New Roman"/>
          <w:b/>
          <w:bCs/>
          <w:i/>
          <w:szCs w:val="24"/>
        </w:rPr>
      </w:pPr>
      <w:r w:rsidRPr="00781B12">
        <w:rPr>
          <w:rFonts w:cs="Times New Roman"/>
          <w:b/>
          <w:bCs/>
          <w:i/>
          <w:szCs w:val="24"/>
        </w:rPr>
        <w:t>H5a: Challenge stress among cybersecurity professionals is positively related to their perceptions of burnout.</w:t>
      </w:r>
    </w:p>
    <w:p w14:paraId="457843CE" w14:textId="7855494A" w:rsidR="003E5B95" w:rsidRPr="00DA5AC5" w:rsidRDefault="003E5B95" w:rsidP="003E5B95">
      <w:pPr>
        <w:contextualSpacing w:val="0"/>
        <w:rPr>
          <w:rFonts w:cs="Times New Roman"/>
          <w:szCs w:val="24"/>
        </w:rPr>
      </w:pPr>
      <w:r w:rsidRPr="00DA5AC5">
        <w:rPr>
          <w:rFonts w:cs="Times New Roman"/>
          <w:szCs w:val="24"/>
        </w:rPr>
        <w:t xml:space="preserve">On the other hand, employees who see security tasks as an additional burden to their primary tasks find themselves in a stressful state or rationalize their information security policy violations. For these employees, enhanced security demands are perceived as a hindrance, creating work overload and time pressures to complete their job duties </w:t>
      </w:r>
      <w:r w:rsidRPr="00DA5AC5">
        <w:rPr>
          <w:rFonts w:cs="Times New Roman"/>
          <w:noProof/>
          <w:szCs w:val="24"/>
        </w:rPr>
        <w:t>(D'Arcy et al., 2014)</w:t>
      </w:r>
      <w:r w:rsidRPr="00DA5AC5">
        <w:rPr>
          <w:rFonts w:cs="Times New Roman"/>
          <w:szCs w:val="24"/>
        </w:rPr>
        <w:t xml:space="preserve">. For cybersecurity professionals, hindrance stress that comes from hindrance demands will also lead to perceptions of burnout. </w:t>
      </w:r>
    </w:p>
    <w:p w14:paraId="31CE1F43" w14:textId="77777777" w:rsidR="003E5B95" w:rsidRPr="00781B12" w:rsidRDefault="003E5B95" w:rsidP="003E5B95">
      <w:pPr>
        <w:ind w:left="360" w:firstLine="0"/>
        <w:rPr>
          <w:rFonts w:cs="Times New Roman"/>
          <w:b/>
          <w:bCs/>
          <w:i/>
          <w:szCs w:val="24"/>
        </w:rPr>
      </w:pPr>
      <w:r w:rsidRPr="00781B12">
        <w:rPr>
          <w:rFonts w:cs="Times New Roman"/>
          <w:b/>
          <w:bCs/>
          <w:i/>
          <w:szCs w:val="24"/>
        </w:rPr>
        <w:t>H5b: Hindrance stress among cybersecurity professionals is positively related to their perceptions of burnout.</w:t>
      </w:r>
    </w:p>
    <w:p w14:paraId="4B92169F" w14:textId="77777777" w:rsidR="003E5B95" w:rsidRPr="00DA5AC5" w:rsidRDefault="003E5B95" w:rsidP="003E5B95">
      <w:pPr>
        <w:contextualSpacing w:val="0"/>
        <w:rPr>
          <w:rFonts w:cs="Times New Roman"/>
          <w:szCs w:val="24"/>
        </w:rPr>
      </w:pPr>
      <w:r w:rsidRPr="00DA5AC5">
        <w:rPr>
          <w:rFonts w:cs="Times New Roman"/>
          <w:szCs w:val="24"/>
        </w:rPr>
        <w:t xml:space="preserve">Employees who are engaged with their work find themselves in a constant state of motivation and often direct their actions towards secure computing behaviors such as compliance with information security policies and the protection of information assets </w:t>
      </w:r>
      <w:r w:rsidRPr="00DA5AC5">
        <w:rPr>
          <w:rFonts w:cs="Times New Roman"/>
          <w:noProof/>
          <w:szCs w:val="24"/>
        </w:rPr>
        <w:t>(Menard et al., 2017)</w:t>
      </w:r>
      <w:r w:rsidRPr="00DA5AC5">
        <w:rPr>
          <w:rFonts w:cs="Times New Roman"/>
          <w:szCs w:val="24"/>
        </w:rPr>
        <w:t xml:space="preserve">. On </w:t>
      </w:r>
      <w:r w:rsidRPr="00DA5AC5">
        <w:rPr>
          <w:rFonts w:cs="Times New Roman"/>
          <w:szCs w:val="24"/>
        </w:rPr>
        <w:lastRenderedPageBreak/>
        <w:t xml:space="preserve">the other hand, employees who experience hindrance stress are likely to engage in moral disengagement or other rationalization behaviors as a matter of non-compliance with secure computing </w:t>
      </w:r>
      <w:r w:rsidRPr="00DA5AC5">
        <w:rPr>
          <w:rFonts w:cs="Times New Roman"/>
          <w:noProof/>
          <w:szCs w:val="24"/>
        </w:rPr>
        <w:t>(D'Arcy et al., 2014; D’Arcy &amp; Teh, 2019)</w:t>
      </w:r>
      <w:r w:rsidRPr="00DA5AC5">
        <w:rPr>
          <w:rFonts w:cs="Times New Roman"/>
          <w:szCs w:val="24"/>
        </w:rPr>
        <w:t xml:space="preserve">. When driven by challenge stress, a cybersecurity professional may engage in adaptive behaviors which are directed at subduing threats to their organization </w:t>
      </w:r>
      <w:r w:rsidRPr="00DA5AC5">
        <w:rPr>
          <w:rFonts w:cs="Times New Roman"/>
          <w:noProof/>
          <w:szCs w:val="24"/>
        </w:rPr>
        <w:t>(Posey et al., 2014)</w:t>
      </w:r>
      <w:r w:rsidRPr="00DA5AC5">
        <w:rPr>
          <w:rFonts w:cs="Times New Roman"/>
          <w:szCs w:val="24"/>
        </w:rPr>
        <w:t xml:space="preserve">. For example, a cybersecurity professional driven by challenge stress may find him/herself engaging in data backup work, configuring threat detection tools, or performing human behavior analysis in order to identify threats and vulnerabilities which may pose risks to their organization’s security. </w:t>
      </w:r>
    </w:p>
    <w:p w14:paraId="3E7A9DF7" w14:textId="77777777" w:rsidR="003E5B95" w:rsidRPr="00781B12" w:rsidRDefault="003E5B95" w:rsidP="003E5B95">
      <w:pPr>
        <w:ind w:left="360" w:firstLine="0"/>
        <w:rPr>
          <w:rFonts w:cs="Times New Roman"/>
          <w:b/>
          <w:bCs/>
          <w:i/>
          <w:szCs w:val="24"/>
        </w:rPr>
      </w:pPr>
      <w:r w:rsidRPr="00781B12">
        <w:rPr>
          <w:rFonts w:cs="Times New Roman"/>
          <w:b/>
          <w:bCs/>
          <w:i/>
          <w:szCs w:val="24"/>
        </w:rPr>
        <w:t>H6a: Challenge stress among cybersecurity professionals is positively related to their work engagement.</w:t>
      </w:r>
    </w:p>
    <w:p w14:paraId="010ADC29" w14:textId="77777777" w:rsidR="003E5B95" w:rsidRPr="00DA5AC5" w:rsidRDefault="003E5B95" w:rsidP="003E5B95">
      <w:pPr>
        <w:contextualSpacing w:val="0"/>
        <w:rPr>
          <w:rFonts w:cs="Times New Roman"/>
          <w:szCs w:val="24"/>
        </w:rPr>
      </w:pPr>
      <w:r w:rsidRPr="00DA5AC5">
        <w:rPr>
          <w:rFonts w:cs="Times New Roman"/>
          <w:szCs w:val="24"/>
        </w:rPr>
        <w:t xml:space="preserve">Alternatively, cybersecurity professionals experiencing hindrance stress may perceive their situation to be negative and may direct less effort toward their work </w:t>
      </w:r>
      <w:r w:rsidRPr="00DA5AC5">
        <w:rPr>
          <w:rFonts w:cs="Times New Roman"/>
          <w:noProof/>
          <w:szCs w:val="24"/>
        </w:rPr>
        <w:t>(LePine et al., 2004)</w:t>
      </w:r>
      <w:r w:rsidRPr="00DA5AC5">
        <w:rPr>
          <w:rFonts w:cs="Times New Roman"/>
          <w:szCs w:val="24"/>
        </w:rPr>
        <w:t xml:space="preserve">. </w:t>
      </w:r>
    </w:p>
    <w:p w14:paraId="18ACB2B1" w14:textId="77777777" w:rsidR="003E5B95" w:rsidRPr="00781B12" w:rsidRDefault="003E5B95" w:rsidP="003E5B95">
      <w:pPr>
        <w:ind w:left="360" w:firstLine="0"/>
        <w:rPr>
          <w:rFonts w:cs="Times New Roman"/>
          <w:b/>
          <w:bCs/>
          <w:i/>
          <w:szCs w:val="24"/>
        </w:rPr>
      </w:pPr>
      <w:r w:rsidRPr="00781B12">
        <w:rPr>
          <w:rFonts w:cs="Times New Roman"/>
          <w:b/>
          <w:bCs/>
          <w:i/>
          <w:szCs w:val="24"/>
        </w:rPr>
        <w:t>H6b: Hindrance stress among cybersecurity professionals is negatively related to their work engagement.</w:t>
      </w:r>
    </w:p>
    <w:p w14:paraId="344FE0B5" w14:textId="583E0630" w:rsidR="003E5B95" w:rsidRPr="00DA5AC5" w:rsidRDefault="003E5B95" w:rsidP="003E5B95">
      <w:pPr>
        <w:contextualSpacing w:val="0"/>
        <w:rPr>
          <w:rFonts w:cs="Times New Roman"/>
          <w:szCs w:val="24"/>
        </w:rPr>
      </w:pPr>
      <w:r>
        <w:rPr>
          <w:rFonts w:cs="Times New Roman"/>
          <w:szCs w:val="24"/>
        </w:rPr>
        <w:t>Security related c</w:t>
      </w:r>
      <w:r w:rsidRPr="00DA5AC5">
        <w:rPr>
          <w:rFonts w:cs="Times New Roman"/>
          <w:szCs w:val="24"/>
        </w:rPr>
        <w:t>hallenge demands are th</w:t>
      </w:r>
      <w:r>
        <w:rPr>
          <w:rFonts w:cs="Times New Roman"/>
          <w:szCs w:val="24"/>
        </w:rPr>
        <w:t>e job demands</w:t>
      </w:r>
      <w:r w:rsidRPr="00DA5AC5">
        <w:rPr>
          <w:rFonts w:cs="Times New Roman"/>
          <w:szCs w:val="24"/>
        </w:rPr>
        <w:t xml:space="preserve"> which are appraised as having the potential to positively impact one’s growth, development, learning, and mastery. Challenge demands promote positive attitudes at work and a sense of commitment to the work. For these demands, employees often experience </w:t>
      </w:r>
      <w:r w:rsidR="00781B12">
        <w:rPr>
          <w:rFonts w:cs="Times New Roman"/>
          <w:szCs w:val="24"/>
        </w:rPr>
        <w:t xml:space="preserve">the </w:t>
      </w:r>
      <w:r w:rsidRPr="00DA5AC5">
        <w:rPr>
          <w:rFonts w:cs="Times New Roman"/>
          <w:szCs w:val="24"/>
        </w:rPr>
        <w:t xml:space="preserve">exhilaration and a healthy state of arousal </w:t>
      </w:r>
      <w:r w:rsidRPr="00DA5AC5">
        <w:rPr>
          <w:rFonts w:cs="Times New Roman"/>
          <w:noProof/>
          <w:szCs w:val="24"/>
        </w:rPr>
        <w:t>(Hargrove et al., 2013)</w:t>
      </w:r>
      <w:r w:rsidRPr="00DA5AC5">
        <w:rPr>
          <w:rFonts w:cs="Times New Roman"/>
          <w:szCs w:val="24"/>
        </w:rPr>
        <w:t xml:space="preserve"> and believe the demands present an opportunity for them to avoid feelings of stagnation or disinterest in their work </w:t>
      </w:r>
      <w:r w:rsidRPr="00DA5AC5">
        <w:rPr>
          <w:rFonts w:cs="Times New Roman"/>
          <w:noProof/>
          <w:szCs w:val="24"/>
        </w:rPr>
        <w:t>(Lo, 2015)</w:t>
      </w:r>
      <w:r w:rsidRPr="00DA5AC5">
        <w:rPr>
          <w:rFonts w:cs="Times New Roman"/>
          <w:szCs w:val="24"/>
        </w:rPr>
        <w:t xml:space="preserve">. </w:t>
      </w:r>
    </w:p>
    <w:p w14:paraId="776C4BC4"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H7a: Job demands perceived by cybersecurity professionals as challenge demands positively relate to their work engagement. </w:t>
      </w:r>
    </w:p>
    <w:p w14:paraId="10A395C1" w14:textId="20FC9280" w:rsidR="003E5B95" w:rsidRPr="00DA5AC5" w:rsidRDefault="003E5B95" w:rsidP="003E5B95">
      <w:pPr>
        <w:contextualSpacing w:val="0"/>
        <w:rPr>
          <w:rFonts w:cs="Times New Roman"/>
          <w:szCs w:val="24"/>
        </w:rPr>
      </w:pPr>
      <w:r w:rsidRPr="00DA5AC5">
        <w:rPr>
          <w:rFonts w:cs="Times New Roman"/>
          <w:szCs w:val="24"/>
        </w:rPr>
        <w:lastRenderedPageBreak/>
        <w:t xml:space="preserve">While challenge demands can promote positive work engagement attitudes, they do so at a cost. Even viewed as having </w:t>
      </w:r>
      <w:r w:rsidR="00781B12">
        <w:rPr>
          <w:rFonts w:cs="Times New Roman"/>
          <w:szCs w:val="24"/>
        </w:rPr>
        <w:t xml:space="preserve">the </w:t>
      </w:r>
      <w:r w:rsidRPr="00DA5AC5">
        <w:rPr>
          <w:rFonts w:cs="Times New Roman"/>
          <w:szCs w:val="24"/>
        </w:rPr>
        <w:t xml:space="preserve">potential to be positive to one’s work, one must still invest time and effort, and such an investment may result in fatigue, exhaustion, and/or burnout </w:t>
      </w:r>
      <w:r w:rsidRPr="00DA5AC5">
        <w:rPr>
          <w:rFonts w:cs="Times New Roman"/>
          <w:noProof/>
          <w:szCs w:val="24"/>
        </w:rPr>
        <w:t>(Crawford et al., 2010)</w:t>
      </w:r>
      <w:r w:rsidRPr="00DA5AC5">
        <w:rPr>
          <w:rFonts w:cs="Times New Roman"/>
          <w:szCs w:val="24"/>
        </w:rPr>
        <w:t>. For example, a cybersecurity professional working in computer forensics may find the work to be quite exhilarating</w:t>
      </w:r>
      <w:r w:rsidR="00781B12">
        <w:rPr>
          <w:rFonts w:cs="Times New Roman"/>
          <w:szCs w:val="24"/>
        </w:rPr>
        <w:t xml:space="preserve"> </w:t>
      </w:r>
      <w:r w:rsidRPr="00DA5AC5">
        <w:rPr>
          <w:rFonts w:cs="Times New Roman"/>
          <w:szCs w:val="24"/>
        </w:rPr>
        <w:t xml:space="preserve">but complex and tiring at the same time. </w:t>
      </w:r>
      <w:r w:rsidRPr="00DA5AC5" w:rsidDel="00EC2BB7">
        <w:rPr>
          <w:rFonts w:cs="Times New Roman"/>
          <w:szCs w:val="24"/>
        </w:rPr>
        <w:t xml:space="preserve"> </w:t>
      </w:r>
    </w:p>
    <w:p w14:paraId="6EB4CC6D" w14:textId="77777777" w:rsidR="003E5B95" w:rsidRPr="00781B12" w:rsidRDefault="003E5B95" w:rsidP="003E5B95">
      <w:pPr>
        <w:ind w:left="360" w:firstLine="0"/>
        <w:rPr>
          <w:rFonts w:cs="Times New Roman"/>
          <w:b/>
          <w:bCs/>
          <w:i/>
          <w:szCs w:val="24"/>
        </w:rPr>
      </w:pPr>
      <w:r w:rsidRPr="00781B12">
        <w:rPr>
          <w:rFonts w:cs="Times New Roman"/>
          <w:b/>
          <w:bCs/>
          <w:i/>
          <w:szCs w:val="24"/>
        </w:rPr>
        <w:t>H7b: Job demands perceived by cybersecurity professionals as challenge demands positively relate to their burnout.</w:t>
      </w:r>
    </w:p>
    <w:p w14:paraId="29135E18" w14:textId="77777777" w:rsidR="003E5B95" w:rsidRPr="00DA5AC5" w:rsidRDefault="003E5B95" w:rsidP="003E5B95">
      <w:pPr>
        <w:contextualSpacing w:val="0"/>
        <w:rPr>
          <w:rFonts w:cs="Times New Roman"/>
          <w:szCs w:val="24"/>
        </w:rPr>
      </w:pPr>
      <w:r w:rsidRPr="00DA5AC5">
        <w:rPr>
          <w:rFonts w:cs="Times New Roman"/>
          <w:szCs w:val="24"/>
        </w:rPr>
        <w:t>These challenge demands can also engender stress for those that engage with them. For these positively viewed demands, stress is described as challenge stress. For cybersecurity professionals, challenge stress is the product of the demands of their job that are challenging.</w:t>
      </w:r>
    </w:p>
    <w:p w14:paraId="670D9928" w14:textId="77777777" w:rsidR="003E5B95" w:rsidRPr="00781B12" w:rsidRDefault="003E5B95" w:rsidP="003E5B95">
      <w:pPr>
        <w:ind w:left="360" w:firstLine="0"/>
        <w:rPr>
          <w:rFonts w:cs="Times New Roman"/>
          <w:b/>
          <w:bCs/>
          <w:i/>
          <w:szCs w:val="24"/>
        </w:rPr>
      </w:pPr>
      <w:r w:rsidRPr="00781B12">
        <w:rPr>
          <w:rFonts w:cs="Times New Roman"/>
          <w:b/>
          <w:bCs/>
          <w:i/>
          <w:szCs w:val="24"/>
        </w:rPr>
        <w:t>H7c: Job demands perceived by cybersecurity professionals as challenge demands positively relate to perceptions of challenge stress.</w:t>
      </w:r>
    </w:p>
    <w:p w14:paraId="0FB97697" w14:textId="77777777" w:rsidR="003E5B95" w:rsidRPr="00DA5AC5" w:rsidRDefault="003E5B95" w:rsidP="003E5B95">
      <w:pPr>
        <w:contextualSpacing w:val="0"/>
        <w:rPr>
          <w:rFonts w:cs="Times New Roman"/>
          <w:szCs w:val="24"/>
        </w:rPr>
      </w:pPr>
      <w:r>
        <w:rPr>
          <w:rFonts w:cs="Times New Roman"/>
          <w:szCs w:val="24"/>
        </w:rPr>
        <w:t>Security related h</w:t>
      </w:r>
      <w:r w:rsidRPr="00DA5AC5">
        <w:rPr>
          <w:rFonts w:cs="Times New Roman"/>
          <w:szCs w:val="24"/>
        </w:rPr>
        <w:t xml:space="preserve">indrance demands are the job demands which are appraised as something hindering one’s growth and development. They often give rise to emotions such as fear, anxiety, or anger </w:t>
      </w:r>
      <w:r w:rsidRPr="00DA5AC5">
        <w:rPr>
          <w:rFonts w:cs="Times New Roman"/>
          <w:noProof/>
          <w:szCs w:val="24"/>
        </w:rPr>
        <w:t>(Crawford et al., 2010)</w:t>
      </w:r>
      <w:r w:rsidRPr="00DA5AC5">
        <w:rPr>
          <w:rFonts w:cs="Times New Roman"/>
          <w:szCs w:val="24"/>
        </w:rPr>
        <w:t xml:space="preserve">. For example, patch management is a crucial task in cybersecurity. Its purpose is to help protect the software that drives an organization’s technical assets. But the task is not inherently challenging. It may involve repeated tasks over an extended period, which can be stressful to accomplish with limited resources. </w:t>
      </w:r>
    </w:p>
    <w:p w14:paraId="59073746" w14:textId="77777777" w:rsidR="003E5B95" w:rsidRPr="00781B12" w:rsidRDefault="003E5B95" w:rsidP="003E5B95">
      <w:pPr>
        <w:ind w:left="360" w:firstLine="0"/>
        <w:rPr>
          <w:rFonts w:cs="Times New Roman"/>
          <w:b/>
          <w:bCs/>
          <w:i/>
          <w:szCs w:val="24"/>
        </w:rPr>
      </w:pPr>
      <w:r w:rsidRPr="00781B12">
        <w:rPr>
          <w:rFonts w:cs="Times New Roman"/>
          <w:b/>
          <w:bCs/>
          <w:i/>
          <w:szCs w:val="24"/>
        </w:rPr>
        <w:t>H8a: Job demands perceived by cybersecurity professionals as hindrance demands positively relate to their burnout.</w:t>
      </w:r>
    </w:p>
    <w:p w14:paraId="04E07005" w14:textId="2FFCB01F" w:rsidR="003E5B95" w:rsidRPr="00DA5AC5" w:rsidRDefault="003E5B95" w:rsidP="003E5B95">
      <w:pPr>
        <w:contextualSpacing w:val="0"/>
        <w:rPr>
          <w:rFonts w:cs="Times New Roman"/>
          <w:szCs w:val="24"/>
        </w:rPr>
      </w:pPr>
      <w:r w:rsidRPr="00DA5AC5">
        <w:rPr>
          <w:rFonts w:cs="Times New Roman"/>
          <w:szCs w:val="24"/>
        </w:rPr>
        <w:t xml:space="preserve">Similarly, the assignment of similar kinds of projects over a long period of time may cause a feeling of stagnation and lead to feelings of monotony regarding the project. In both cases, burnout is a possible outcome. When employees perceive that they </w:t>
      </w:r>
      <w:proofErr w:type="gramStart"/>
      <w:r w:rsidRPr="00DA5AC5">
        <w:rPr>
          <w:rFonts w:cs="Times New Roman"/>
          <w:szCs w:val="24"/>
        </w:rPr>
        <w:t>have to</w:t>
      </w:r>
      <w:proofErr w:type="gramEnd"/>
      <w:r w:rsidRPr="00DA5AC5">
        <w:rPr>
          <w:rFonts w:cs="Times New Roman"/>
          <w:szCs w:val="24"/>
        </w:rPr>
        <w:t xml:space="preserve"> go through </w:t>
      </w:r>
      <w:r w:rsidRPr="00DA5AC5">
        <w:rPr>
          <w:rFonts w:cs="Times New Roman"/>
          <w:szCs w:val="24"/>
        </w:rPr>
        <w:lastRenderedPageBreak/>
        <w:t>administrative hassles or organizational politics, they often find their jobs stressful and find the effort and energy they commit to their jobs</w:t>
      </w:r>
      <w:r w:rsidR="00781B12">
        <w:rPr>
          <w:rFonts w:cs="Times New Roman"/>
          <w:szCs w:val="24"/>
        </w:rPr>
        <w:t xml:space="preserve"> </w:t>
      </w:r>
      <w:r w:rsidRPr="00DA5AC5">
        <w:rPr>
          <w:rFonts w:cs="Times New Roman"/>
          <w:szCs w:val="24"/>
        </w:rPr>
        <w:t xml:space="preserve">less rewarding. They become less engaged in their work as a result </w:t>
      </w:r>
      <w:r w:rsidRPr="00DA5AC5">
        <w:rPr>
          <w:rFonts w:cs="Times New Roman"/>
          <w:noProof/>
          <w:szCs w:val="24"/>
        </w:rPr>
        <w:t>(Zhang et al., 2014)</w:t>
      </w:r>
      <w:r w:rsidRPr="00DA5AC5">
        <w:rPr>
          <w:rFonts w:cs="Times New Roman"/>
          <w:szCs w:val="24"/>
        </w:rPr>
        <w:t>.</w:t>
      </w:r>
    </w:p>
    <w:p w14:paraId="31361F66" w14:textId="77777777" w:rsidR="003E5B95" w:rsidRPr="00781B12" w:rsidRDefault="003E5B95" w:rsidP="003E5B95">
      <w:pPr>
        <w:ind w:left="360" w:firstLine="0"/>
        <w:rPr>
          <w:rFonts w:cs="Times New Roman"/>
          <w:b/>
          <w:bCs/>
          <w:i/>
          <w:szCs w:val="24"/>
        </w:rPr>
      </w:pPr>
      <w:r w:rsidRPr="00781B12">
        <w:rPr>
          <w:rFonts w:cs="Times New Roman"/>
          <w:b/>
          <w:bCs/>
          <w:i/>
          <w:szCs w:val="24"/>
        </w:rPr>
        <w:t>H8b: Job demands perceived by cybersecurity professionals as hindrance demands negatively relate to their work engagement.</w:t>
      </w:r>
    </w:p>
    <w:p w14:paraId="045F4CA6" w14:textId="23FAEEB1" w:rsidR="003E5B95" w:rsidRPr="00DA5AC5" w:rsidRDefault="003E5B95" w:rsidP="003E5B95">
      <w:pPr>
        <w:contextualSpacing w:val="0"/>
        <w:rPr>
          <w:rFonts w:cs="Times New Roman"/>
          <w:szCs w:val="24"/>
        </w:rPr>
      </w:pPr>
      <w:r w:rsidRPr="00DA5AC5">
        <w:rPr>
          <w:rFonts w:cs="Times New Roman"/>
          <w:szCs w:val="24"/>
        </w:rPr>
        <w:t>Just like challenge demands, hindrance demands engender stress for those that engage with them. However, unlike challenge demands, these demands are not viewed positively and do not lead to positive challenge stress outcomes. Rather, hindrance demands are viewed negatively</w:t>
      </w:r>
      <w:r w:rsidR="00781B12">
        <w:rPr>
          <w:rFonts w:cs="Times New Roman"/>
          <w:szCs w:val="24"/>
        </w:rPr>
        <w:t xml:space="preserve"> </w:t>
      </w:r>
      <w:r w:rsidRPr="00DA5AC5">
        <w:rPr>
          <w:rFonts w:cs="Times New Roman"/>
          <w:szCs w:val="24"/>
        </w:rPr>
        <w:t xml:space="preserve">as burdensome tasks. For these sorts of demands, cybersecurity professionals are more likely to describe them as resulting in hindrance stress. </w:t>
      </w:r>
    </w:p>
    <w:p w14:paraId="570C1F72"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H8c: Job demands perceived by cybersecurity professionals as hindrance demands positively relate to perceptions of hindrance stress.  </w:t>
      </w:r>
    </w:p>
    <w:p w14:paraId="071F3986" w14:textId="77777777" w:rsidR="003E5B95" w:rsidRPr="00DA5AC5" w:rsidRDefault="003E5B95" w:rsidP="003E5B95">
      <w:pPr>
        <w:ind w:firstLine="0"/>
        <w:contextualSpacing w:val="0"/>
        <w:rPr>
          <w:rFonts w:cs="Times New Roman"/>
          <w:i/>
          <w:szCs w:val="24"/>
        </w:rPr>
      </w:pPr>
      <w:r w:rsidRPr="00DA5AC5">
        <w:rPr>
          <w:rFonts w:cs="Times New Roman"/>
          <w:i/>
          <w:szCs w:val="24"/>
        </w:rPr>
        <w:t>Resources</w:t>
      </w:r>
    </w:p>
    <w:p w14:paraId="53EE8CBD" w14:textId="4653B42F" w:rsidR="003E5B95" w:rsidRPr="00DA5AC5" w:rsidRDefault="003E5B95" w:rsidP="003E5B95">
      <w:pPr>
        <w:contextualSpacing w:val="0"/>
        <w:rPr>
          <w:rFonts w:cs="Times New Roman"/>
          <w:szCs w:val="24"/>
        </w:rPr>
      </w:pPr>
      <w:r w:rsidRPr="00DA5AC5">
        <w:rPr>
          <w:rFonts w:cs="Times New Roman"/>
          <w:szCs w:val="24"/>
        </w:rPr>
        <w:t>The availability of job resources has an interesting effect on the stress one perceives from job demand. For organizations that are resource-rich and provide their employees with an abundance of job-related resources, their employees view their work demands in a positive light, able to see how the work can be accomplished and could lead to beneficial outcomes. For them, they gain additional challenge stress from challenge demands and less hindrance stress from hindrance stressors. Conversely, for organizations that lack sufficient resources to provide to their employees in their work, the employees find themselves viewing the work with skepticism</w:t>
      </w:r>
      <w:r w:rsidR="00781B12">
        <w:rPr>
          <w:rFonts w:cs="Times New Roman"/>
          <w:szCs w:val="24"/>
        </w:rPr>
        <w:t xml:space="preserve"> </w:t>
      </w:r>
      <w:r w:rsidRPr="00DA5AC5">
        <w:rPr>
          <w:rFonts w:cs="Times New Roman"/>
          <w:szCs w:val="24"/>
        </w:rPr>
        <w:t xml:space="preserve">as a potential risk to their job performance and professional growth </w:t>
      </w:r>
      <w:r w:rsidRPr="00DA5AC5">
        <w:rPr>
          <w:rFonts w:cs="Times New Roman"/>
          <w:noProof/>
          <w:szCs w:val="24"/>
        </w:rPr>
        <w:t>(Bakker et al., 2007)</w:t>
      </w:r>
      <w:r w:rsidRPr="00DA5AC5">
        <w:rPr>
          <w:rFonts w:cs="Times New Roman"/>
          <w:szCs w:val="24"/>
        </w:rPr>
        <w:t xml:space="preserve">. Challenge demands are viewed less favorably and result in less challenge stress, while hindrance demands seem even more daunting and produce greater perceptions of hindrance stress. </w:t>
      </w:r>
    </w:p>
    <w:p w14:paraId="019A1E4F" w14:textId="77777777" w:rsidR="003E5B95" w:rsidRPr="00781B12" w:rsidRDefault="003E5B95" w:rsidP="003E5B95">
      <w:pPr>
        <w:ind w:left="360" w:firstLine="0"/>
        <w:rPr>
          <w:rFonts w:cs="Times New Roman"/>
          <w:b/>
          <w:bCs/>
          <w:i/>
          <w:szCs w:val="24"/>
        </w:rPr>
      </w:pPr>
      <w:r w:rsidRPr="00781B12">
        <w:rPr>
          <w:rFonts w:cs="Times New Roman"/>
          <w:b/>
          <w:bCs/>
          <w:i/>
          <w:szCs w:val="24"/>
        </w:rPr>
        <w:lastRenderedPageBreak/>
        <w:t xml:space="preserve">H9a: Job resources moderate the relationship between challenge demands and challenge stress such that challenge demands produce more challenge stress in high job resource environments compared to low job resource environments. </w:t>
      </w:r>
    </w:p>
    <w:p w14:paraId="1089628B"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H9b: Job resources moderate the relationship between hindrance demands and hindrance stress such that hindrance demands produce less hindrance stress in high job resource environments compared to low job resource environments. </w:t>
      </w:r>
    </w:p>
    <w:p w14:paraId="01961790" w14:textId="77777777" w:rsidR="003E5B95" w:rsidRPr="00DA5AC5" w:rsidRDefault="003E5B95" w:rsidP="003E5B95">
      <w:pPr>
        <w:contextualSpacing w:val="0"/>
        <w:rPr>
          <w:rFonts w:cs="Times New Roman"/>
          <w:szCs w:val="24"/>
        </w:rPr>
      </w:pPr>
      <w:r w:rsidRPr="00DA5AC5">
        <w:rPr>
          <w:rFonts w:cs="Times New Roman"/>
          <w:szCs w:val="24"/>
        </w:rPr>
        <w:t xml:space="preserve">Personal resources are positive self-evaluations and show the aspects of self which are instrumental in achieving work goals and the promotion of growth and development </w:t>
      </w:r>
      <w:r w:rsidRPr="00DA5AC5">
        <w:rPr>
          <w:rFonts w:cs="Times New Roman"/>
          <w:noProof/>
          <w:szCs w:val="24"/>
        </w:rPr>
        <w:t>(Garrosa et al., 2010; Schaufeli &amp; Taris, 2014)</w:t>
      </w:r>
      <w:r w:rsidRPr="00DA5AC5">
        <w:rPr>
          <w:rFonts w:cs="Times New Roman"/>
          <w:szCs w:val="24"/>
        </w:rPr>
        <w:t>. Personal resources such as optimism, self-efficacy</w:t>
      </w:r>
      <w:r>
        <w:rPr>
          <w:rFonts w:cs="Times New Roman"/>
          <w:szCs w:val="24"/>
        </w:rPr>
        <w:t xml:space="preserve">, </w:t>
      </w:r>
      <w:r w:rsidRPr="00DA5AC5">
        <w:rPr>
          <w:rFonts w:cs="Times New Roman"/>
          <w:szCs w:val="24"/>
        </w:rPr>
        <w:t xml:space="preserve">and organizational-based self-esteem are recognized as important personal resources that tend to decrease psychological costs such as burnout </w:t>
      </w:r>
      <w:r w:rsidRPr="00DA5AC5">
        <w:rPr>
          <w:rFonts w:cs="Times New Roman"/>
          <w:noProof/>
          <w:szCs w:val="24"/>
        </w:rPr>
        <w:t>(Garrosa et al., 2010)</w:t>
      </w:r>
      <w:r w:rsidRPr="00DA5AC5">
        <w:rPr>
          <w:rFonts w:cs="Times New Roman"/>
          <w:szCs w:val="24"/>
        </w:rPr>
        <w:t xml:space="preserve">. Also, work engagement is higher among employees who are optimistic, self-efficacious, and believe that they are important for their organization </w:t>
      </w:r>
      <w:r w:rsidRPr="00DA5AC5">
        <w:rPr>
          <w:rFonts w:cs="Times New Roman"/>
          <w:noProof/>
          <w:szCs w:val="24"/>
        </w:rPr>
        <w:t>(Xanthopoulou et al., 2007, 2009)</w:t>
      </w:r>
      <w:r w:rsidRPr="00DA5AC5">
        <w:rPr>
          <w:rFonts w:cs="Times New Roman"/>
          <w:szCs w:val="24"/>
        </w:rPr>
        <w:t xml:space="preserve">. Optimism is defined as the generalized tendency for positive outcomes </w:t>
      </w:r>
      <w:r w:rsidRPr="00DA5AC5">
        <w:rPr>
          <w:rFonts w:cs="Times New Roman"/>
          <w:noProof/>
          <w:szCs w:val="24"/>
        </w:rPr>
        <w:t>(Bogdan et al., 2017)</w:t>
      </w:r>
      <w:r w:rsidRPr="00DA5AC5">
        <w:rPr>
          <w:rFonts w:cs="Times New Roman"/>
          <w:szCs w:val="24"/>
        </w:rPr>
        <w:t xml:space="preserve">. Research shows people who are more optimistic are better able to handle job demands, feel more energetic, engaged, and able to find solutions and achieve their goals </w:t>
      </w:r>
      <w:r w:rsidRPr="00DA5AC5">
        <w:rPr>
          <w:rFonts w:cs="Times New Roman"/>
          <w:noProof/>
          <w:szCs w:val="24"/>
        </w:rPr>
        <w:t>(Bogdan et al., 2017; Garrosa et al., 2010)</w:t>
      </w:r>
      <w:r w:rsidRPr="00DA5AC5">
        <w:rPr>
          <w:rFonts w:cs="Times New Roman"/>
          <w:szCs w:val="24"/>
        </w:rPr>
        <w:t xml:space="preserve">. People with high levels of optimism are less stressed and show lower scores for burnout as they feel that they can exert more control over their work environment, are better able to handle their job demands, and adapt better to their work </w:t>
      </w:r>
      <w:r w:rsidRPr="00DA5AC5">
        <w:rPr>
          <w:rFonts w:cs="Times New Roman"/>
          <w:noProof/>
          <w:szCs w:val="24"/>
        </w:rPr>
        <w:t>(Chang et al., 2000; Xanthopoulou et al., 2007)</w:t>
      </w:r>
      <w:r w:rsidRPr="00DA5AC5">
        <w:rPr>
          <w:rFonts w:cs="Times New Roman"/>
          <w:szCs w:val="24"/>
        </w:rPr>
        <w:t xml:space="preserve">. </w:t>
      </w:r>
    </w:p>
    <w:p w14:paraId="76129C9B" w14:textId="77777777" w:rsidR="003E5B95" w:rsidRPr="00DA5AC5" w:rsidRDefault="003E5B95" w:rsidP="003E5B95">
      <w:pPr>
        <w:contextualSpacing w:val="0"/>
        <w:rPr>
          <w:rFonts w:cs="Times New Roman"/>
          <w:szCs w:val="24"/>
        </w:rPr>
      </w:pPr>
      <w:r w:rsidRPr="00DA5AC5">
        <w:rPr>
          <w:rFonts w:cs="Times New Roman"/>
          <w:szCs w:val="24"/>
        </w:rPr>
        <w:t xml:space="preserve">For the cybersecurity professional, personal resources have a moderating effect on how challenge and hindrance demands are viewed. Similar to job resources, the moderating effect on the demands–stress relationship is one where an abundance of personal resources positively </w:t>
      </w:r>
      <w:r w:rsidRPr="00DA5AC5">
        <w:rPr>
          <w:rFonts w:cs="Times New Roman"/>
          <w:szCs w:val="24"/>
        </w:rPr>
        <w:lastRenderedPageBreak/>
        <w:t>influences the amount of challenge stress perceived from challenge demands while having a negative influence on the amount of hindrance stress obtained from hindrance demands.</w:t>
      </w:r>
    </w:p>
    <w:p w14:paraId="430ECBBA"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H10a: Personal resources moderate the relationship between challenge demands and challenge stress such that challenge demands produce more challenge stress for people perceiving high levels of personal resources compared to those perceiving low personal resources. </w:t>
      </w:r>
    </w:p>
    <w:p w14:paraId="29AA6B13" w14:textId="77777777" w:rsidR="003E5B95" w:rsidRPr="00781B12" w:rsidRDefault="003E5B95" w:rsidP="003E5B95">
      <w:pPr>
        <w:ind w:left="360" w:firstLine="0"/>
        <w:rPr>
          <w:rFonts w:cs="Times New Roman"/>
          <w:b/>
          <w:bCs/>
          <w:i/>
          <w:szCs w:val="24"/>
        </w:rPr>
      </w:pPr>
      <w:r w:rsidRPr="00781B12">
        <w:rPr>
          <w:rFonts w:cs="Times New Roman"/>
          <w:b/>
          <w:bCs/>
          <w:i/>
          <w:szCs w:val="24"/>
        </w:rPr>
        <w:t xml:space="preserve">H10b: Personal resources moderate the relationship between hindrance demands and hindrance stress such that hindrance demands produce less hindrance stress for people perceiving high levels of personal resources compared to those perceiving low personal resources. </w:t>
      </w:r>
    </w:p>
    <w:p w14:paraId="09DA7CD7" w14:textId="77777777" w:rsidR="003E5B95" w:rsidRPr="00DA5AC5" w:rsidRDefault="003E5B95" w:rsidP="003E5B95">
      <w:pPr>
        <w:pStyle w:val="Heading2"/>
        <w:rPr>
          <w:lang w:eastAsia="en-US"/>
        </w:rPr>
      </w:pPr>
      <w:bookmarkStart w:id="346" w:name="_Toc73125116"/>
      <w:bookmarkStart w:id="347" w:name="_Toc74045282"/>
      <w:bookmarkStart w:id="348" w:name="_Toc74087567"/>
      <w:bookmarkStart w:id="349" w:name="_Toc74258683"/>
      <w:r w:rsidRPr="00DA5AC5">
        <w:rPr>
          <w:lang w:eastAsia="en-US"/>
        </w:rPr>
        <w:t>M</w:t>
      </w:r>
      <w:bookmarkEnd w:id="346"/>
      <w:bookmarkEnd w:id="347"/>
      <w:r>
        <w:rPr>
          <w:lang w:eastAsia="en-US"/>
        </w:rPr>
        <w:t>ethod</w:t>
      </w:r>
      <w:bookmarkEnd w:id="348"/>
      <w:bookmarkEnd w:id="349"/>
    </w:p>
    <w:p w14:paraId="1DF3FBC8" w14:textId="6F6AE957" w:rsidR="003E5B95" w:rsidRPr="00DA5AC5" w:rsidRDefault="003E5B95" w:rsidP="003E5B95">
      <w:pPr>
        <w:contextualSpacing w:val="0"/>
        <w:rPr>
          <w:rFonts w:cs="Times New Roman"/>
          <w:szCs w:val="24"/>
        </w:rPr>
      </w:pPr>
      <w:r w:rsidRPr="00DA5AC5">
        <w:rPr>
          <w:rFonts w:cs="Times New Roman"/>
          <w:szCs w:val="24"/>
        </w:rPr>
        <w:t xml:space="preserve">To refine and test the model described above, we propose a two-phased research design. In the first phase, we will conduct a seeded, ranking type Delphi Study to better identify and prioritize the job demands and resources found in the literature and their relevance to stress in the cybersecurity profession </w:t>
      </w:r>
      <w:r w:rsidRPr="00DA5AC5">
        <w:rPr>
          <w:rFonts w:cs="Times New Roman"/>
          <w:noProof/>
          <w:szCs w:val="24"/>
        </w:rPr>
        <w:t>(Di Gangi et al., 2018)</w:t>
      </w:r>
      <w:r w:rsidRPr="00DA5AC5">
        <w:rPr>
          <w:rFonts w:cs="Times New Roman"/>
          <w:szCs w:val="24"/>
        </w:rPr>
        <w:t xml:space="preserve">. The second part of this two-phased design is a temporally separated survey of cybersecurity professionals via a market research firm. </w:t>
      </w:r>
      <w:r>
        <w:rPr>
          <w:rFonts w:cs="Times New Roman"/>
          <w:szCs w:val="24"/>
        </w:rPr>
        <w:t>Definitions of the constructs ha</w:t>
      </w:r>
      <w:r w:rsidR="00781B12">
        <w:rPr>
          <w:rFonts w:cs="Times New Roman"/>
          <w:szCs w:val="24"/>
        </w:rPr>
        <w:t>ve</w:t>
      </w:r>
      <w:r>
        <w:rPr>
          <w:rFonts w:cs="Times New Roman"/>
          <w:szCs w:val="24"/>
        </w:rPr>
        <w:t xml:space="preserve"> been provided in </w:t>
      </w:r>
      <w:r w:rsidR="00781B12">
        <w:rPr>
          <w:rFonts w:cs="Times New Roman"/>
          <w:szCs w:val="24"/>
        </w:rPr>
        <w:t>T</w:t>
      </w:r>
      <w:r>
        <w:rPr>
          <w:rFonts w:cs="Times New Roman"/>
          <w:szCs w:val="24"/>
        </w:rPr>
        <w:t>able L1.</w:t>
      </w:r>
    </w:p>
    <w:p w14:paraId="340ED98F" w14:textId="77777777" w:rsidR="003E5B95" w:rsidRPr="00DA5AC5" w:rsidRDefault="003E5B95" w:rsidP="003E5B95">
      <w:pPr>
        <w:pStyle w:val="Heading2"/>
        <w:rPr>
          <w:lang w:eastAsia="en-US"/>
        </w:rPr>
      </w:pPr>
      <w:bookmarkStart w:id="350" w:name="_Toc74045283"/>
      <w:bookmarkStart w:id="351" w:name="_Toc74087568"/>
      <w:bookmarkStart w:id="352" w:name="_Toc74258684"/>
      <w:bookmarkStart w:id="353" w:name="_Toc73125117"/>
      <w:r w:rsidRPr="00DA5AC5">
        <w:rPr>
          <w:lang w:eastAsia="en-US"/>
        </w:rPr>
        <w:t>Delphi Design</w:t>
      </w:r>
      <w:bookmarkEnd w:id="350"/>
      <w:bookmarkEnd w:id="351"/>
      <w:bookmarkEnd w:id="352"/>
      <w:r w:rsidRPr="00DA5AC5">
        <w:rPr>
          <w:lang w:eastAsia="en-US"/>
        </w:rPr>
        <w:t xml:space="preserve"> </w:t>
      </w:r>
      <w:bookmarkEnd w:id="353"/>
    </w:p>
    <w:p w14:paraId="38BD1BBD" w14:textId="49E52446" w:rsidR="003E5B95" w:rsidRPr="00DA5AC5" w:rsidRDefault="003E5B95" w:rsidP="003E5B95">
      <w:pPr>
        <w:contextualSpacing w:val="0"/>
        <w:rPr>
          <w:rFonts w:cs="Times New Roman"/>
          <w:szCs w:val="24"/>
        </w:rPr>
      </w:pPr>
      <w:r w:rsidRPr="00DA5AC5">
        <w:rPr>
          <w:rFonts w:cs="Times New Roman"/>
          <w:szCs w:val="24"/>
        </w:rPr>
        <w:t xml:space="preserve">To conduct the Delphi study, first job </w:t>
      </w:r>
      <w:r w:rsidR="00E8371A" w:rsidRPr="00DA5AC5">
        <w:rPr>
          <w:rFonts w:cs="Times New Roman"/>
          <w:szCs w:val="24"/>
        </w:rPr>
        <w:t>demands,</w:t>
      </w:r>
      <w:r w:rsidR="00E8371A">
        <w:rPr>
          <w:rFonts w:cs="Times New Roman"/>
          <w:szCs w:val="24"/>
        </w:rPr>
        <w:t xml:space="preserve"> </w:t>
      </w:r>
      <w:r w:rsidRPr="00DA5AC5">
        <w:rPr>
          <w:rFonts w:cs="Times New Roman"/>
          <w:szCs w:val="24"/>
        </w:rPr>
        <w:t>and resources will be identified from the literature (i.e.</w:t>
      </w:r>
      <w:r w:rsidR="00E8371A">
        <w:rPr>
          <w:rFonts w:cs="Times New Roman"/>
          <w:szCs w:val="24"/>
        </w:rPr>
        <w:t>,</w:t>
      </w:r>
      <w:r w:rsidRPr="00DA5AC5">
        <w:rPr>
          <w:rFonts w:cs="Times New Roman"/>
          <w:szCs w:val="24"/>
        </w:rPr>
        <w:t xml:space="preserve"> initial seed list of job demands and resources). Next, the list of those identified demands and resources will be given to 15 cybersecurity professionals to gain the understanding of 1) which demands and resources are most applicable in the context of cybersecurity, and 2) which demands are thought of as challenge demands or hindrance demands based on the criteria </w:t>
      </w:r>
      <w:r w:rsidRPr="00DA5AC5">
        <w:rPr>
          <w:rFonts w:cs="Times New Roman"/>
          <w:szCs w:val="24"/>
        </w:rPr>
        <w:lastRenderedPageBreak/>
        <w:t xml:space="preserve">of </w:t>
      </w:r>
      <w:r w:rsidRPr="00DA5AC5">
        <w:rPr>
          <w:rFonts w:cs="Times New Roman"/>
          <w:noProof/>
          <w:szCs w:val="24"/>
        </w:rPr>
        <w:t>Hargrove et al. (2013)</w:t>
      </w:r>
      <w:r w:rsidRPr="00DA5AC5">
        <w:rPr>
          <w:rFonts w:cs="Times New Roman"/>
          <w:szCs w:val="24"/>
        </w:rPr>
        <w:t>. Briefly, cybersecurity professionals will be asked to categorize job demands as either challenge demands, or hindrance demands. They will be asked to conduct this categorization on the basis of two criteria: 1) an initial appraisal: how they react to a demand by thinking about it; 2) its relatedness: the extent to which a job demand relates to either task accomplishment or personal development. For a demand to be appraised as challenging</w:t>
      </w:r>
      <w:r w:rsidR="00E8371A">
        <w:rPr>
          <w:rFonts w:cs="Times New Roman"/>
          <w:szCs w:val="24"/>
        </w:rPr>
        <w:t>,</w:t>
      </w:r>
      <w:r w:rsidRPr="00DA5AC5">
        <w:rPr>
          <w:rFonts w:cs="Times New Roman"/>
          <w:szCs w:val="24"/>
        </w:rPr>
        <w:t xml:space="preserve"> it should be related to either task accomplishment or personal development </w:t>
      </w:r>
      <w:r w:rsidRPr="00DA5AC5">
        <w:rPr>
          <w:rFonts w:cs="Times New Roman"/>
          <w:noProof/>
          <w:szCs w:val="24"/>
        </w:rPr>
        <w:t>(Hargrove et al., 2015; Hargrove et al., 2013)</w:t>
      </w:r>
      <w:r w:rsidRPr="00DA5AC5">
        <w:rPr>
          <w:rFonts w:cs="Times New Roman"/>
          <w:szCs w:val="24"/>
        </w:rPr>
        <w:t xml:space="preserve">. Often, these two criteria go hand in hand. For example, if a cybersecurity consultant wants to get promoted (personal development), then his job is to deliver quality service to the organization’s client over a sustained </w:t>
      </w:r>
      <w:r w:rsidR="00210BC4" w:rsidRPr="00DA5AC5">
        <w:rPr>
          <w:rFonts w:cs="Times New Roman"/>
          <w:szCs w:val="24"/>
        </w:rPr>
        <w:t>period</w:t>
      </w:r>
      <w:r w:rsidRPr="00DA5AC5">
        <w:rPr>
          <w:rFonts w:cs="Times New Roman"/>
          <w:szCs w:val="24"/>
        </w:rPr>
        <w:t xml:space="preserve"> (task accomplishment). Similarly, for a demand to be appraised as a hindrance, it should be appraised as a barrier or obstacle to personal development or task accomplishment. For example, compliance with enhanced security requirements as a result of industry regulations will be appraised as an obstacle to ones’ primary job responsibilities (task accomplishment) because these requirements are often complex and cause work overload </w:t>
      </w:r>
      <w:r w:rsidRPr="00DA5AC5">
        <w:rPr>
          <w:rFonts w:cs="Times New Roman"/>
          <w:noProof/>
          <w:szCs w:val="24"/>
        </w:rPr>
        <w:t>(D'Arcy et al., 2014; D’Arcy &amp; Teh, 2019)</w:t>
      </w:r>
      <w:r w:rsidRPr="00DA5AC5">
        <w:rPr>
          <w:rFonts w:cs="Times New Roman"/>
          <w:szCs w:val="24"/>
        </w:rPr>
        <w:t>.</w:t>
      </w:r>
    </w:p>
    <w:p w14:paraId="49DE04DD" w14:textId="77777777" w:rsidR="003E5B95" w:rsidRPr="00DA5AC5" w:rsidRDefault="003E5B95" w:rsidP="003E5B95">
      <w:pPr>
        <w:contextualSpacing w:val="0"/>
        <w:rPr>
          <w:rFonts w:cs="Times New Roman"/>
          <w:szCs w:val="24"/>
        </w:rPr>
      </w:pPr>
      <w:r w:rsidRPr="00DA5AC5">
        <w:rPr>
          <w:rFonts w:cs="Times New Roman"/>
          <w:szCs w:val="24"/>
        </w:rPr>
        <w:t>The Delphi study panelists will be emailed a link to a web-based survey containing a randomized list of the job demands and resources from the literature (</w:t>
      </w:r>
      <w:r>
        <w:rPr>
          <w:rFonts w:cs="Times New Roman"/>
          <w:szCs w:val="24"/>
        </w:rPr>
        <w:t>Table L2 and L3</w:t>
      </w:r>
      <w:r w:rsidRPr="00DA5AC5">
        <w:rPr>
          <w:rFonts w:cs="Times New Roman"/>
          <w:szCs w:val="24"/>
        </w:rPr>
        <w:t xml:space="preserve">). Each panelist will be asked to identify the five most important job demands (as challenge and hindrance) for cybersecurity professionals. The list will be randomized for every panelist to reduce the likelihood of selection bias. In addition to this list, the panelists will be asked to identify and define any additional job demands and resources that they find relevant to the cybersecurity profession </w:t>
      </w:r>
      <w:r w:rsidRPr="00DA5AC5">
        <w:rPr>
          <w:rFonts w:cs="Times New Roman"/>
          <w:noProof/>
          <w:szCs w:val="24"/>
        </w:rPr>
        <w:t>(Di Gangi et al., 2018)</w:t>
      </w:r>
      <w:r w:rsidRPr="00DA5AC5">
        <w:rPr>
          <w:rFonts w:cs="Times New Roman"/>
          <w:szCs w:val="24"/>
        </w:rPr>
        <w:t>.</w:t>
      </w:r>
    </w:p>
    <w:p w14:paraId="656D7F01" w14:textId="77777777" w:rsidR="003E5B95" w:rsidRPr="00DA5AC5" w:rsidRDefault="003E5B95" w:rsidP="003E5B95">
      <w:pPr>
        <w:contextualSpacing w:val="0"/>
        <w:rPr>
          <w:rFonts w:cs="Times New Roman"/>
          <w:szCs w:val="24"/>
        </w:rPr>
      </w:pPr>
      <w:r w:rsidRPr="00DA5AC5">
        <w:rPr>
          <w:rFonts w:cs="Times New Roman"/>
          <w:szCs w:val="24"/>
        </w:rPr>
        <w:t xml:space="preserve">After receiving the list from the initial solicitation, a reduced list will be created by carrying forward any job demands and resources that panelists indicated as important and dropping the </w:t>
      </w:r>
      <w:r w:rsidRPr="00DA5AC5">
        <w:rPr>
          <w:rFonts w:cs="Times New Roman"/>
          <w:szCs w:val="24"/>
        </w:rPr>
        <w:lastRenderedPageBreak/>
        <w:t>remaining job demands and resources. Panelists will be asked to rank each job demand and resource from most important to least important. At the end of this round, the mean rank for each job demand and resource will be calculated by Kendall’s Coefficient of Concordance (Kendall’s W) to determine the degree of consensus among the panelists.</w:t>
      </w:r>
    </w:p>
    <w:p w14:paraId="34AE38B5" w14:textId="58F9BA8E" w:rsidR="003E5B95" w:rsidRPr="00DA5AC5" w:rsidRDefault="003E5B95" w:rsidP="003E5B95">
      <w:pPr>
        <w:contextualSpacing w:val="0"/>
        <w:rPr>
          <w:rFonts w:cs="Times New Roman"/>
          <w:szCs w:val="24"/>
        </w:rPr>
      </w:pPr>
      <w:r w:rsidRPr="00DA5AC5">
        <w:rPr>
          <w:rFonts w:cs="Times New Roman"/>
          <w:szCs w:val="24"/>
        </w:rPr>
        <w:t xml:space="preserve">Additional rounds will be conducted, and each panelist will be presented with the re-ranked job demands and resources from the previous round and a brief synopsis of the justification provided by each panelist. In each round, the current ranking, mean score, and commentary </w:t>
      </w:r>
      <w:r>
        <w:rPr>
          <w:rFonts w:cs="Times New Roman"/>
          <w:szCs w:val="24"/>
        </w:rPr>
        <w:t>are</w:t>
      </w:r>
      <w:r w:rsidRPr="00DA5AC5">
        <w:rPr>
          <w:rFonts w:cs="Times New Roman"/>
          <w:szCs w:val="24"/>
        </w:rPr>
        <w:t xml:space="preserve"> provided to allow each panelist the opportunity to adjust their ranking according to the panel’s overall perspective. The process will be repeated until the consensus is achieved</w:t>
      </w:r>
      <w:r w:rsidR="00E8371A">
        <w:rPr>
          <w:rFonts w:cs="Times New Roman"/>
          <w:szCs w:val="24"/>
        </w:rPr>
        <w:t>,</w:t>
      </w:r>
      <w:r w:rsidRPr="00DA5AC5">
        <w:rPr>
          <w:rFonts w:cs="Times New Roman"/>
          <w:szCs w:val="24"/>
        </w:rPr>
        <w:t xml:space="preserve"> as indicated by Kendall’s W. The selected job demands, and resources will then be added to the research model for testing as part of a temporally separated survey of cybersecurity professionals. This survey is described next.  </w:t>
      </w:r>
    </w:p>
    <w:p w14:paraId="1AC24E73" w14:textId="77777777" w:rsidR="003E5B95" w:rsidRPr="00DA5AC5" w:rsidRDefault="003E5B95" w:rsidP="003E5B95">
      <w:pPr>
        <w:pStyle w:val="Heading2"/>
        <w:rPr>
          <w:color w:val="2F5496" w:themeColor="accent1" w:themeShade="BF"/>
          <w:lang w:eastAsia="en-US"/>
        </w:rPr>
      </w:pPr>
      <w:bookmarkStart w:id="354" w:name="_Toc74045284"/>
      <w:bookmarkStart w:id="355" w:name="_Toc74087569"/>
      <w:bookmarkStart w:id="356" w:name="_Toc74258685"/>
      <w:bookmarkStart w:id="357" w:name="_Toc73125118"/>
      <w:r w:rsidRPr="00DA5AC5">
        <w:rPr>
          <w:lang w:eastAsia="en-US"/>
        </w:rPr>
        <w:t>Temporally Separated Survey Design</w:t>
      </w:r>
      <w:bookmarkEnd w:id="354"/>
      <w:bookmarkEnd w:id="355"/>
      <w:bookmarkEnd w:id="356"/>
      <w:r w:rsidRPr="00DA5AC5">
        <w:rPr>
          <w:lang w:eastAsia="en-US"/>
        </w:rPr>
        <w:t xml:space="preserve"> </w:t>
      </w:r>
      <w:bookmarkEnd w:id="357"/>
    </w:p>
    <w:p w14:paraId="2B484B53" w14:textId="77777777" w:rsidR="003E5B95" w:rsidRPr="00DA5AC5" w:rsidRDefault="003E5B95" w:rsidP="003E5B95">
      <w:pPr>
        <w:contextualSpacing w:val="0"/>
        <w:rPr>
          <w:rFonts w:cs="Times New Roman"/>
          <w:szCs w:val="24"/>
        </w:rPr>
      </w:pPr>
      <w:r w:rsidRPr="00DA5AC5">
        <w:rPr>
          <w:rFonts w:cs="Times New Roman"/>
          <w:szCs w:val="24"/>
        </w:rPr>
        <w:t xml:space="preserve">Following the Delphi study inspired refinement of the research model, two surveys will be conducted, separated by a two-week interval. For this assessment, 300 cybersecurity professionals in the U.S. will be contacted via email by a market research firm and asked to volunteer their participation in the survey. This survey will be created in Qualtrics and will be distributed by a market research firm. At time 1 (T1), data will be collected on the independent variables: job demands, job resources, personal resources, affective commitment to the cybersecurity profession, and challenge and hindrance stress. Data for the demographic variables and control variables will also be collected at this time. Two weeks later at time 2 (T2), the same participants will be contacted again to provide data on turnover intentions, burnout, and work </w:t>
      </w:r>
      <w:r w:rsidRPr="00DA5AC5">
        <w:rPr>
          <w:rFonts w:cs="Times New Roman"/>
          <w:szCs w:val="24"/>
        </w:rPr>
        <w:lastRenderedPageBreak/>
        <w:t xml:space="preserve">engagement. The rationale for using such a design is to control for common method bias </w:t>
      </w:r>
      <w:r w:rsidRPr="00DA5AC5">
        <w:rPr>
          <w:rFonts w:cs="Times New Roman"/>
          <w:noProof/>
          <w:szCs w:val="24"/>
        </w:rPr>
        <w:t>(Podsakoff et al., 2003)</w:t>
      </w:r>
      <w:r w:rsidRPr="00DA5AC5">
        <w:rPr>
          <w:rFonts w:cs="Times New Roman"/>
          <w:szCs w:val="24"/>
        </w:rPr>
        <w:t>.</w:t>
      </w:r>
    </w:p>
    <w:p w14:paraId="0F7E75D0" w14:textId="77777777" w:rsidR="003E5B95" w:rsidRPr="00DA5AC5" w:rsidRDefault="003E5B95" w:rsidP="003E5B95">
      <w:pPr>
        <w:pStyle w:val="Heading2"/>
      </w:pPr>
      <w:bookmarkStart w:id="358" w:name="_Toc74045285"/>
      <w:bookmarkStart w:id="359" w:name="_Toc74087570"/>
      <w:bookmarkStart w:id="360" w:name="_Toc74258686"/>
      <w:bookmarkStart w:id="361" w:name="_Toc73125119"/>
      <w:r w:rsidRPr="00DA5AC5">
        <w:t>Instrument Development</w:t>
      </w:r>
      <w:bookmarkEnd w:id="358"/>
      <w:bookmarkEnd w:id="359"/>
      <w:bookmarkEnd w:id="360"/>
      <w:r w:rsidRPr="00DA5AC5">
        <w:t xml:space="preserve"> </w:t>
      </w:r>
      <w:bookmarkEnd w:id="361"/>
    </w:p>
    <w:p w14:paraId="017A6B0F" w14:textId="31865F62" w:rsidR="003E5B95" w:rsidRPr="00DA5AC5" w:rsidRDefault="003E5B95" w:rsidP="003E5B95">
      <w:pPr>
        <w:spacing w:after="160"/>
        <w:ind w:firstLine="0"/>
        <w:contextualSpacing w:val="0"/>
        <w:rPr>
          <w:rFonts w:cs="Times New Roman"/>
          <w:kern w:val="0"/>
          <w:szCs w:val="24"/>
          <w:lang w:eastAsia="en-US"/>
        </w:rPr>
      </w:pPr>
      <w:r w:rsidRPr="00DA5AC5">
        <w:rPr>
          <w:rFonts w:cs="Times New Roman"/>
          <w:szCs w:val="24"/>
        </w:rPr>
        <w:t xml:space="preserve">This study will use previously validated scales where at all possible. The selection of job </w:t>
      </w:r>
      <w:r w:rsidR="00E8371A" w:rsidRPr="00DA5AC5">
        <w:rPr>
          <w:rFonts w:cs="Times New Roman"/>
          <w:szCs w:val="24"/>
        </w:rPr>
        <w:t>demands,</w:t>
      </w:r>
      <w:r w:rsidR="00E8371A">
        <w:rPr>
          <w:rFonts w:cs="Times New Roman"/>
          <w:szCs w:val="24"/>
        </w:rPr>
        <w:t xml:space="preserve"> </w:t>
      </w:r>
      <w:r w:rsidRPr="00DA5AC5">
        <w:rPr>
          <w:rFonts w:cs="Times New Roman"/>
          <w:szCs w:val="24"/>
        </w:rPr>
        <w:t xml:space="preserve">and resources is contingent on the results of the Delphi study. </w:t>
      </w:r>
      <w:r w:rsidRPr="00DA5AC5">
        <w:rPr>
          <w:rFonts w:cs="Times New Roman"/>
          <w:kern w:val="0"/>
          <w:szCs w:val="24"/>
          <w:lang w:eastAsia="en-US"/>
        </w:rPr>
        <w:t xml:space="preserve">In the context of the JD-R model, prior research has shown the relevance of personal resources such as optimism, self-efficacy, and organization-based self-esteem. Although the selection of personal resources will also be dependent upon the results of the Delphi study, the scales of optimism and organization-based self-esteem are shown as an example. Organization-based self-esteem will be measured using a ten-item scale </w:t>
      </w:r>
      <w:r w:rsidRPr="00DA5AC5">
        <w:rPr>
          <w:rFonts w:cs="Times New Roman"/>
          <w:noProof/>
          <w:kern w:val="0"/>
          <w:szCs w:val="24"/>
          <w:lang w:eastAsia="en-US"/>
        </w:rPr>
        <w:t>(Pierce &amp; Gardner, 2004)</w:t>
      </w:r>
      <w:r w:rsidRPr="00DA5AC5">
        <w:rPr>
          <w:rFonts w:cs="Times New Roman"/>
          <w:kern w:val="0"/>
          <w:szCs w:val="24"/>
          <w:lang w:eastAsia="en-US"/>
        </w:rPr>
        <w:t xml:space="preserve">, where each item is measured with a five-point Likert ranging from strongly disagree (1) to strongly agree (5). The average reported reliability of this scale is 0.880 (range 0.820 to 0.950). </w:t>
      </w:r>
      <w:bookmarkStart w:id="362" w:name="_Hlk40202157"/>
      <w:r w:rsidRPr="00DA5AC5">
        <w:rPr>
          <w:rFonts w:cs="Times New Roman"/>
          <w:kern w:val="0"/>
          <w:szCs w:val="24"/>
          <w:lang w:eastAsia="en-US"/>
        </w:rPr>
        <w:t xml:space="preserve">Optimism is measured by the Life Orientation Test‒Revised </w:t>
      </w:r>
      <w:r w:rsidRPr="00DA5AC5">
        <w:rPr>
          <w:rFonts w:cs="Times New Roman"/>
          <w:noProof/>
          <w:kern w:val="0"/>
          <w:szCs w:val="24"/>
          <w:lang w:eastAsia="en-US"/>
        </w:rPr>
        <w:t>(Scheier et al., 1994)</w:t>
      </w:r>
      <w:r w:rsidRPr="00DA5AC5">
        <w:rPr>
          <w:rFonts w:cs="Times New Roman"/>
          <w:kern w:val="0"/>
          <w:szCs w:val="24"/>
          <w:lang w:eastAsia="en-US"/>
        </w:rPr>
        <w:t xml:space="preserve"> scale. The reliability of this scale has been reported to be 0.820 and overall optimism score ranging from 0 to 32 (items were scored on a five-point Likert scale ranging from 0 (strongly disagree) to 4 (strongly agree). A high score suggests greater optimism</w:t>
      </w:r>
      <w:bookmarkEnd w:id="362"/>
      <w:r w:rsidRPr="00DA5AC5">
        <w:rPr>
          <w:rFonts w:cs="Times New Roman"/>
          <w:kern w:val="0"/>
          <w:szCs w:val="24"/>
          <w:lang w:eastAsia="en-US"/>
        </w:rPr>
        <w:t xml:space="preserve">. In this study, optimism will be measured on a five-point Likert scale ranging from strongly disagree (1) to strongly agree (5). </w:t>
      </w:r>
    </w:p>
    <w:p w14:paraId="5069BE4B" w14:textId="3D435397" w:rsidR="003E5B95" w:rsidRPr="00DA5AC5" w:rsidRDefault="003E5B95" w:rsidP="003E5B95">
      <w:pPr>
        <w:spacing w:after="160"/>
        <w:ind w:firstLine="0"/>
        <w:contextualSpacing w:val="0"/>
        <w:rPr>
          <w:rFonts w:cs="Times New Roman"/>
          <w:kern w:val="0"/>
          <w:szCs w:val="24"/>
          <w:lang w:eastAsia="en-US"/>
        </w:rPr>
      </w:pPr>
      <w:r w:rsidRPr="00DA5AC5">
        <w:rPr>
          <w:rFonts w:cs="Times New Roman"/>
          <w:kern w:val="0"/>
          <w:szCs w:val="24"/>
          <w:lang w:eastAsia="en-US"/>
        </w:rPr>
        <w:t xml:space="preserve">Burnout will be measured using the Copenhagen Burnout Inventory scale </w:t>
      </w:r>
      <w:r w:rsidRPr="00DA5AC5">
        <w:rPr>
          <w:rFonts w:cs="Times New Roman"/>
          <w:noProof/>
          <w:kern w:val="0"/>
          <w:szCs w:val="24"/>
          <w:lang w:eastAsia="en-US"/>
        </w:rPr>
        <w:t>(Kristensen et al., 2005)</w:t>
      </w:r>
      <w:r w:rsidRPr="00DA5AC5">
        <w:rPr>
          <w:rFonts w:cs="Times New Roman"/>
          <w:kern w:val="0"/>
          <w:szCs w:val="24"/>
          <w:lang w:eastAsia="en-US"/>
        </w:rPr>
        <w:t xml:space="preserve"> that measures burnout as fatigue and exhaustion in three subdimensions, 1) personal burnout‒defined as the degree to which a person experiences physical and psychological fatigue and burnout</w:t>
      </w:r>
      <w:r w:rsidR="00E8371A">
        <w:rPr>
          <w:rFonts w:cs="Times New Roman"/>
          <w:kern w:val="0"/>
          <w:szCs w:val="24"/>
          <w:lang w:eastAsia="en-US"/>
        </w:rPr>
        <w:t xml:space="preserve"> </w:t>
      </w:r>
      <w:r w:rsidRPr="00DA5AC5">
        <w:rPr>
          <w:rFonts w:cs="Times New Roman"/>
          <w:kern w:val="0"/>
          <w:szCs w:val="24"/>
          <w:lang w:eastAsia="en-US"/>
        </w:rPr>
        <w:t xml:space="preserve">(Cronbach alpha = 0.870), 2) work-related burnout‒defined as the degree to which a person experiences physical and psychological fatigue due to his/her work, (Cronbach alpha = 0.870), and 3) client-related burnout‒defined as the degree to which a person experiences </w:t>
      </w:r>
      <w:r w:rsidRPr="00DA5AC5">
        <w:rPr>
          <w:rFonts w:cs="Times New Roman"/>
          <w:kern w:val="0"/>
          <w:szCs w:val="24"/>
          <w:lang w:eastAsia="en-US"/>
        </w:rPr>
        <w:lastRenderedPageBreak/>
        <w:t xml:space="preserve">physical and psychological fatigue due to his/her work with the clients (Cronbach alpha = 0.850). We find this inventory relevant to our research because cybersecurity professionals may be subjected to fatigue and burnout due to the nature of their job. </w:t>
      </w:r>
      <w:bookmarkStart w:id="363" w:name="_Hlk39085535"/>
      <w:r w:rsidRPr="00DA5AC5">
        <w:rPr>
          <w:rFonts w:cs="Times New Roman"/>
          <w:kern w:val="0"/>
          <w:szCs w:val="24"/>
          <w:lang w:eastAsia="en-US"/>
        </w:rPr>
        <w:t xml:space="preserve">Items are measured on a 7 points scale, where 1 = never, 2 = almost never, 3 = rarely, 4 = sometimes, 5 = often, 6 = very often, 7 = always. </w:t>
      </w:r>
      <w:bookmarkStart w:id="364" w:name="_Hlk40203674"/>
    </w:p>
    <w:p w14:paraId="03B624A8" w14:textId="76AD7D53" w:rsidR="003E5B95" w:rsidRPr="00DA5AC5" w:rsidRDefault="003E5B95" w:rsidP="003E5B95">
      <w:pPr>
        <w:spacing w:after="160"/>
        <w:ind w:firstLine="0"/>
        <w:contextualSpacing w:val="0"/>
        <w:rPr>
          <w:rFonts w:cs="Times New Roman"/>
          <w:kern w:val="0"/>
          <w:szCs w:val="24"/>
          <w:lang w:eastAsia="en-US"/>
        </w:rPr>
      </w:pPr>
      <w:r w:rsidRPr="00DA5AC5">
        <w:rPr>
          <w:rFonts w:cs="Times New Roman"/>
          <w:kern w:val="0"/>
          <w:szCs w:val="24"/>
          <w:lang w:eastAsia="en-US"/>
        </w:rPr>
        <w:t xml:space="preserve">In the context of the JD-R model, work engagement has been measured using the Utrecht Work Engagement Scale </w:t>
      </w:r>
      <w:r w:rsidRPr="00DA5AC5">
        <w:rPr>
          <w:rFonts w:cs="Times New Roman"/>
          <w:noProof/>
          <w:kern w:val="0"/>
          <w:szCs w:val="24"/>
          <w:lang w:eastAsia="en-US"/>
        </w:rPr>
        <w:t>(Schaufeli et al., 2002; Seppälä et al., 2008)</w:t>
      </w:r>
      <w:r w:rsidRPr="00DA5AC5">
        <w:rPr>
          <w:rFonts w:cs="Times New Roman"/>
          <w:kern w:val="0"/>
          <w:szCs w:val="24"/>
          <w:lang w:eastAsia="en-US"/>
        </w:rPr>
        <w:t>.</w:t>
      </w:r>
      <w:bookmarkEnd w:id="364"/>
      <w:r w:rsidRPr="00DA5AC5">
        <w:rPr>
          <w:rFonts w:cs="Times New Roman"/>
          <w:kern w:val="0"/>
          <w:szCs w:val="24"/>
          <w:lang w:eastAsia="en-US"/>
        </w:rPr>
        <w:t xml:space="preserve"> This is a self-report questionnaire consisting of 17 items (UWES-17)</w:t>
      </w:r>
      <w:r>
        <w:rPr>
          <w:rFonts w:cs="Times New Roman"/>
          <w:kern w:val="0"/>
          <w:szCs w:val="24"/>
          <w:lang w:eastAsia="en-US"/>
        </w:rPr>
        <w:t xml:space="preserve"> that</w:t>
      </w:r>
      <w:r w:rsidRPr="00DA5AC5">
        <w:rPr>
          <w:rFonts w:cs="Times New Roman"/>
          <w:kern w:val="0"/>
          <w:szCs w:val="24"/>
          <w:lang w:eastAsia="en-US"/>
        </w:rPr>
        <w:t xml:space="preserve"> measure three dimensions of work engagement as vigor (six items), dedication (five items), and absorption (six items). A short version of this scale consists of nine items (UWES-9). The reported reliability (Cronbach alpha) of UWES-17 ranges between 0.750 and 0.830 for vigor, between 0.860 and 0.900 for dedication, and between 0.820 and 0.880 for absorption. The reported reliability of UWES-9 ranges from 0.810 to 0.850 for vigor, from 0.830 to 0.870 for dedication</w:t>
      </w:r>
      <w:r w:rsidR="00E8371A">
        <w:rPr>
          <w:rFonts w:cs="Times New Roman"/>
          <w:kern w:val="0"/>
          <w:szCs w:val="24"/>
          <w:lang w:eastAsia="en-US"/>
        </w:rPr>
        <w:t xml:space="preserve">, </w:t>
      </w:r>
      <w:r w:rsidRPr="00DA5AC5">
        <w:rPr>
          <w:rFonts w:cs="Times New Roman"/>
          <w:kern w:val="0"/>
          <w:szCs w:val="24"/>
          <w:lang w:eastAsia="en-US"/>
        </w:rPr>
        <w:t>and from 0.750 to 0.830 for absorption. The choice of UWES-17 or UWES-9 will be contingent upon the overall length of the survey</w:t>
      </w:r>
      <w:r w:rsidR="00E8371A">
        <w:rPr>
          <w:rFonts w:cs="Times New Roman"/>
          <w:kern w:val="0"/>
          <w:szCs w:val="24"/>
          <w:lang w:eastAsia="en-US"/>
        </w:rPr>
        <w:t>.</w:t>
      </w:r>
    </w:p>
    <w:p w14:paraId="7DA90510" w14:textId="2BA817AE" w:rsidR="003E5B95" w:rsidRDefault="003E5B95" w:rsidP="003E5B95">
      <w:pPr>
        <w:spacing w:after="160"/>
        <w:ind w:firstLine="0"/>
        <w:contextualSpacing w:val="0"/>
        <w:rPr>
          <w:rFonts w:cs="Times New Roman"/>
          <w:kern w:val="0"/>
          <w:szCs w:val="24"/>
          <w:lang w:eastAsia="en-US"/>
        </w:rPr>
      </w:pPr>
      <w:r w:rsidRPr="00DA5AC5">
        <w:rPr>
          <w:rFonts w:cs="Times New Roman"/>
          <w:kern w:val="0"/>
          <w:szCs w:val="24"/>
          <w:lang w:eastAsia="en-US"/>
        </w:rPr>
        <w:t xml:space="preserve">Affective commitment to the cybersecurity profession will be measured using the scale provided by Armstrong et al. </w:t>
      </w:r>
      <w:r w:rsidRPr="00DA5AC5">
        <w:rPr>
          <w:rFonts w:cs="Times New Roman"/>
          <w:noProof/>
          <w:kern w:val="0"/>
          <w:szCs w:val="24"/>
          <w:lang w:eastAsia="en-US"/>
        </w:rPr>
        <w:t>(2015)</w:t>
      </w:r>
      <w:r w:rsidR="00E8371A">
        <w:rPr>
          <w:rFonts w:cs="Times New Roman"/>
          <w:noProof/>
          <w:kern w:val="0"/>
          <w:szCs w:val="24"/>
          <w:lang w:eastAsia="en-US"/>
        </w:rPr>
        <w:t>,</w:t>
      </w:r>
      <w:r w:rsidRPr="00DA5AC5">
        <w:rPr>
          <w:rFonts w:cs="Times New Roman"/>
          <w:kern w:val="0"/>
          <w:szCs w:val="24"/>
          <w:lang w:eastAsia="en-US"/>
        </w:rPr>
        <w:t xml:space="preserve"> which has reported reliability as 0.900. The turnover intention will be measured using the scale provided by Moore et al. </w:t>
      </w:r>
      <w:r w:rsidRPr="00DA5AC5">
        <w:rPr>
          <w:rFonts w:cs="Times New Roman"/>
          <w:noProof/>
          <w:kern w:val="0"/>
          <w:szCs w:val="24"/>
          <w:lang w:eastAsia="en-US"/>
        </w:rPr>
        <w:t>(2000)</w:t>
      </w:r>
      <w:r w:rsidRPr="00DA5AC5">
        <w:rPr>
          <w:rFonts w:cs="Times New Roman"/>
          <w:kern w:val="0"/>
          <w:szCs w:val="24"/>
          <w:lang w:eastAsia="en-US"/>
        </w:rPr>
        <w:t xml:space="preserve">. The reliability of this scale has been reported as 0.920. The negative affectivity scale will be used as a control variable adapted from Moore et al. </w:t>
      </w:r>
      <w:r w:rsidRPr="00DA5AC5">
        <w:rPr>
          <w:rFonts w:cs="Times New Roman"/>
          <w:noProof/>
          <w:kern w:val="0"/>
          <w:szCs w:val="24"/>
          <w:lang w:eastAsia="en-US"/>
        </w:rPr>
        <w:t>(2000)</w:t>
      </w:r>
      <w:r w:rsidRPr="00DA5AC5">
        <w:rPr>
          <w:rFonts w:cs="Times New Roman"/>
          <w:kern w:val="0"/>
          <w:szCs w:val="24"/>
          <w:lang w:eastAsia="en-US"/>
        </w:rPr>
        <w:t xml:space="preserve">. The reported reliability of this scale is 0.860. </w:t>
      </w:r>
      <w:bookmarkEnd w:id="363"/>
    </w:p>
    <w:p w14:paraId="58343451" w14:textId="77777777" w:rsidR="003E5B95" w:rsidRDefault="003E5B95" w:rsidP="003E5B95">
      <w:pPr>
        <w:pStyle w:val="Heading2"/>
        <w:rPr>
          <w:lang w:eastAsia="en-US"/>
        </w:rPr>
      </w:pPr>
      <w:bookmarkStart w:id="365" w:name="_Toc74087571"/>
      <w:bookmarkStart w:id="366" w:name="_Toc74258687"/>
      <w:r>
        <w:rPr>
          <w:lang w:eastAsia="en-US"/>
        </w:rPr>
        <w:t>Current Status and Next Steps</w:t>
      </w:r>
      <w:bookmarkEnd w:id="365"/>
      <w:bookmarkEnd w:id="366"/>
    </w:p>
    <w:p w14:paraId="65C7EADB" w14:textId="77777777" w:rsidR="003E5B95" w:rsidRPr="006C2554" w:rsidRDefault="003E5B95" w:rsidP="003E5B95">
      <w:pPr>
        <w:rPr>
          <w:lang w:eastAsia="en-US"/>
        </w:rPr>
      </w:pPr>
      <w:r>
        <w:rPr>
          <w:lang w:eastAsia="en-US"/>
        </w:rPr>
        <w:t xml:space="preserve">The study has been approved by the institutional review board and we anticipant recruiting cybersecurity professionals for the Delphi study. Once the Delphi study is complete, the survey </w:t>
      </w:r>
      <w:r>
        <w:rPr>
          <w:lang w:eastAsia="en-US"/>
        </w:rPr>
        <w:lastRenderedPageBreak/>
        <w:t>will be conducted to test the research model across a larger population of cybersecurity professionals within the U.S.</w:t>
      </w:r>
    </w:p>
    <w:p w14:paraId="4189AED2" w14:textId="77777777" w:rsidR="003E5B95" w:rsidRDefault="003E5B95" w:rsidP="003E5B95">
      <w:pPr>
        <w:spacing w:after="160"/>
        <w:ind w:firstLine="0"/>
        <w:contextualSpacing w:val="0"/>
        <w:rPr>
          <w:rFonts w:cs="Times New Roman"/>
          <w:kern w:val="0"/>
          <w:szCs w:val="24"/>
          <w:lang w:eastAsia="en-US"/>
        </w:rPr>
      </w:pPr>
    </w:p>
    <w:p w14:paraId="5A049145" w14:textId="77777777" w:rsidR="003E5B95" w:rsidRDefault="003E5B95">
      <w:pPr>
        <w:spacing w:after="160" w:line="259" w:lineRule="auto"/>
        <w:ind w:firstLine="0"/>
        <w:contextualSpacing w:val="0"/>
        <w:rPr>
          <w:rFonts w:cs="Times New Roman"/>
          <w:kern w:val="0"/>
          <w:szCs w:val="24"/>
          <w:lang w:eastAsia="en-US"/>
        </w:rPr>
      </w:pPr>
      <w:r>
        <w:rPr>
          <w:rFonts w:cs="Times New Roman"/>
          <w:kern w:val="0"/>
          <w:szCs w:val="24"/>
          <w:lang w:eastAsia="en-US"/>
        </w:rPr>
        <w:br w:type="page"/>
      </w:r>
    </w:p>
    <w:p w14:paraId="7C45DBE1" w14:textId="0719ACFE" w:rsidR="003E5B95" w:rsidRPr="007322DA" w:rsidRDefault="003E5B95" w:rsidP="003E5B95">
      <w:pPr>
        <w:pStyle w:val="Heading2"/>
      </w:pPr>
      <w:bookmarkStart w:id="367" w:name="_Toc74045286"/>
      <w:bookmarkStart w:id="368" w:name="_Toc74087572"/>
      <w:bookmarkStart w:id="369" w:name="_Toc74258688"/>
      <w:r w:rsidRPr="007322DA">
        <w:rPr>
          <w:rStyle w:val="Heading2Char"/>
          <w:b/>
        </w:rPr>
        <w:lastRenderedPageBreak/>
        <w:t>R</w:t>
      </w:r>
      <w:bookmarkEnd w:id="367"/>
      <w:r>
        <w:rPr>
          <w:rStyle w:val="Heading2Char"/>
          <w:b/>
        </w:rPr>
        <w:t>eferences</w:t>
      </w:r>
      <w:r w:rsidRPr="007322DA">
        <w:rPr>
          <w:rStyle w:val="Heading2Char"/>
          <w:b/>
        </w:rPr>
        <w:t xml:space="preserve"> </w:t>
      </w:r>
      <w:r>
        <w:rPr>
          <w:rStyle w:val="Heading2Char"/>
          <w:b/>
        </w:rPr>
        <w:t>for</w:t>
      </w:r>
      <w:r w:rsidRPr="007322DA">
        <w:t xml:space="preserve"> A</w:t>
      </w:r>
      <w:r>
        <w:t>ppendix</w:t>
      </w:r>
      <w:r w:rsidRPr="007322DA">
        <w:t xml:space="preserve"> </w:t>
      </w:r>
      <w:bookmarkEnd w:id="368"/>
      <w:r w:rsidR="00C46BBC">
        <w:t>L</w:t>
      </w:r>
      <w:bookmarkEnd w:id="369"/>
    </w:p>
    <w:p w14:paraId="1F114272" w14:textId="77777777" w:rsidR="003E5B95" w:rsidRPr="0001200D" w:rsidRDefault="003E5B95" w:rsidP="003E5B95">
      <w:pPr>
        <w:pStyle w:val="EndNoteBibliography"/>
        <w:spacing w:after="240"/>
        <w:ind w:left="720" w:hanging="720"/>
      </w:pPr>
      <w:r w:rsidRPr="0001200D">
        <w:t xml:space="preserve">(ISC)². (2019). </w:t>
      </w:r>
      <w:r w:rsidRPr="0001200D">
        <w:rPr>
          <w:i/>
        </w:rPr>
        <w:t>Strategies for Building and Growing Strong Cybersecurity Teams (ISC)² CYBERSECURITY WORKFORCE STUDY, 2019</w:t>
      </w:r>
      <w:r w:rsidRPr="0001200D">
        <w:t xml:space="preserve">. Retrieved 2 Feb from </w:t>
      </w:r>
      <w:r w:rsidRPr="003E5B95">
        <w:t>https://www.isc2.org/-/media/ISC2/Research/2019-Cybersecurity-Workforce-Study/ISC2-Cybersecurity-Workforce-Study-2019.ashx?la=en&amp;hash=D087F6468B4991E0BEFFC017BC1ADF59CD5A2EF7</w:t>
      </w:r>
    </w:p>
    <w:p w14:paraId="742EE50E" w14:textId="77777777" w:rsidR="003E5B95" w:rsidRPr="0001200D" w:rsidRDefault="003E5B95" w:rsidP="003E5B95">
      <w:pPr>
        <w:pStyle w:val="EndNoteBibliography"/>
        <w:spacing w:after="240"/>
        <w:ind w:left="720" w:hanging="720"/>
      </w:pPr>
      <w:r w:rsidRPr="0001200D">
        <w:t xml:space="preserve">Ahuja, M. K., Chudoba, K. M., Kacmar, C. J., McKnight, D. H., &amp; George, J. F. (2007). IT road warriors: Balancing work-family conflict, job autonomy, and work overload to mitigate turnover intentions. </w:t>
      </w:r>
      <w:r w:rsidRPr="0001200D">
        <w:rPr>
          <w:i/>
        </w:rPr>
        <w:t>MIS Quarterly</w:t>
      </w:r>
      <w:r w:rsidRPr="0001200D">
        <w:t>,</w:t>
      </w:r>
      <w:r w:rsidRPr="0001200D">
        <w:rPr>
          <w:i/>
        </w:rPr>
        <w:t xml:space="preserve"> 31</w:t>
      </w:r>
      <w:r w:rsidRPr="0001200D">
        <w:t xml:space="preserve">(1), 1-17. </w:t>
      </w:r>
    </w:p>
    <w:p w14:paraId="46163B87" w14:textId="77777777" w:rsidR="003E5B95" w:rsidRPr="0001200D" w:rsidRDefault="003E5B95" w:rsidP="003E5B95">
      <w:pPr>
        <w:pStyle w:val="EndNoteBibliography"/>
        <w:spacing w:after="240"/>
        <w:ind w:left="720" w:hanging="720"/>
      </w:pPr>
      <w:r w:rsidRPr="0001200D">
        <w:t xml:space="preserve">Armstrong, D. J., Brooks, N. G., &amp; Riemenschneider, C. K. (2015). Exhaustion from information system career experience: Implications for turn-away intention. </w:t>
      </w:r>
      <w:r w:rsidRPr="0001200D">
        <w:rPr>
          <w:i/>
        </w:rPr>
        <w:t>MIS Quarterly</w:t>
      </w:r>
      <w:r w:rsidRPr="0001200D">
        <w:t>,</w:t>
      </w:r>
      <w:r w:rsidRPr="0001200D">
        <w:rPr>
          <w:i/>
        </w:rPr>
        <w:t xml:space="preserve"> 39</w:t>
      </w:r>
      <w:r w:rsidRPr="0001200D">
        <w:t xml:space="preserve">(3), 713-728. </w:t>
      </w:r>
    </w:p>
    <w:p w14:paraId="5DF6842E" w14:textId="77777777" w:rsidR="003E5B95" w:rsidRPr="0001200D" w:rsidRDefault="003E5B95" w:rsidP="003E5B95">
      <w:pPr>
        <w:pStyle w:val="EndNoteBibliography"/>
        <w:spacing w:after="240"/>
        <w:ind w:left="720" w:hanging="720"/>
      </w:pPr>
      <w:r w:rsidRPr="0001200D">
        <w:t xml:space="preserve">Bakker, A. B., Albrecht, S. L., &amp; Leiter, M. P. (2011). Key questions regarding work engagement. </w:t>
      </w:r>
      <w:r w:rsidRPr="0001200D">
        <w:rPr>
          <w:i/>
        </w:rPr>
        <w:t>European journal of work and organizational psychology</w:t>
      </w:r>
      <w:r w:rsidRPr="0001200D">
        <w:t>,</w:t>
      </w:r>
      <w:r w:rsidRPr="0001200D">
        <w:rPr>
          <w:i/>
        </w:rPr>
        <w:t xml:space="preserve"> 20</w:t>
      </w:r>
      <w:r w:rsidRPr="0001200D">
        <w:t xml:space="preserve">(1), 4-28. </w:t>
      </w:r>
    </w:p>
    <w:p w14:paraId="5539C641" w14:textId="77777777" w:rsidR="003E5B95" w:rsidRPr="0001200D" w:rsidRDefault="003E5B95" w:rsidP="003E5B95">
      <w:pPr>
        <w:pStyle w:val="EndNoteBibliography"/>
        <w:spacing w:after="240"/>
        <w:ind w:left="720" w:hanging="720"/>
      </w:pPr>
      <w:r w:rsidRPr="0001200D">
        <w:t xml:space="preserve">Bakker, A. B., Hakanen, J. J., Demerouti, E., &amp; Xanthopoulou, D. (2007). Job resources boost work engagement, particularly when job demands are high. </w:t>
      </w:r>
      <w:r w:rsidRPr="0001200D">
        <w:rPr>
          <w:i/>
        </w:rPr>
        <w:t>Journal of educational psychology</w:t>
      </w:r>
      <w:r w:rsidRPr="0001200D">
        <w:t>,</w:t>
      </w:r>
      <w:r w:rsidRPr="0001200D">
        <w:rPr>
          <w:i/>
        </w:rPr>
        <w:t xml:space="preserve"> 99</w:t>
      </w:r>
      <w:r w:rsidRPr="0001200D">
        <w:t xml:space="preserve">(2), 274. </w:t>
      </w:r>
    </w:p>
    <w:p w14:paraId="24779AE2" w14:textId="77777777" w:rsidR="003E5B95" w:rsidRPr="0001200D" w:rsidRDefault="003E5B95" w:rsidP="003E5B95">
      <w:pPr>
        <w:pStyle w:val="EndNoteBibliography"/>
        <w:spacing w:after="240"/>
        <w:ind w:left="720" w:hanging="720"/>
      </w:pPr>
      <w:r w:rsidRPr="0001200D">
        <w:t xml:space="preserve">Bogdan, V., Meşter, I. T., Gherai, D., &amp; Scorţe, C. M. (2017). An analysis of the influences of individual optimism, risk taking and self-confidence on professional accounting judgment. </w:t>
      </w:r>
      <w:r w:rsidRPr="0001200D">
        <w:rPr>
          <w:i/>
        </w:rPr>
        <w:t>Accounting and Management Information Systems</w:t>
      </w:r>
      <w:r w:rsidRPr="0001200D">
        <w:t>,</w:t>
      </w:r>
      <w:r w:rsidRPr="0001200D">
        <w:rPr>
          <w:i/>
        </w:rPr>
        <w:t xml:space="preserve"> 16</w:t>
      </w:r>
      <w:r w:rsidRPr="0001200D">
        <w:t xml:space="preserve">(3), 320-343. </w:t>
      </w:r>
    </w:p>
    <w:p w14:paraId="1B7D9FD4" w14:textId="77777777" w:rsidR="003E5B95" w:rsidRPr="0001200D" w:rsidRDefault="003E5B95" w:rsidP="003E5B95">
      <w:pPr>
        <w:pStyle w:val="EndNoteBibliography"/>
        <w:spacing w:after="240"/>
        <w:ind w:left="720" w:hanging="720"/>
      </w:pPr>
      <w:r w:rsidRPr="0001200D">
        <w:t xml:space="preserve">Cavanaugh, M. A., Boswell, W. R., Roehling, M. V., &amp; Boudreau, J. W. (2000). An empirical examination of self-reported work stress among US managers. </w:t>
      </w:r>
      <w:r w:rsidRPr="0001200D">
        <w:rPr>
          <w:i/>
        </w:rPr>
        <w:t>Journal of Applied Psychology</w:t>
      </w:r>
      <w:r w:rsidRPr="0001200D">
        <w:t>,</w:t>
      </w:r>
      <w:r w:rsidRPr="0001200D">
        <w:rPr>
          <w:i/>
        </w:rPr>
        <w:t xml:space="preserve"> 85</w:t>
      </w:r>
      <w:r w:rsidRPr="0001200D">
        <w:t xml:space="preserve">(1), 65-74. </w:t>
      </w:r>
    </w:p>
    <w:p w14:paraId="3D6945AF" w14:textId="77777777" w:rsidR="003E5B95" w:rsidRPr="0001200D" w:rsidRDefault="003E5B95" w:rsidP="003E5B95">
      <w:pPr>
        <w:pStyle w:val="EndNoteBibliography"/>
        <w:spacing w:after="240"/>
        <w:ind w:left="720" w:hanging="720"/>
      </w:pPr>
      <w:r w:rsidRPr="0001200D">
        <w:t xml:space="preserve">Chang, E. C., Rand, K. L., &amp; Strunk, D. R. (2000). Optimism and risk for job burnout among working college students: Stress as a mediator. </w:t>
      </w:r>
      <w:r w:rsidRPr="0001200D">
        <w:rPr>
          <w:i/>
        </w:rPr>
        <w:t>Personality and Individual Differences</w:t>
      </w:r>
      <w:r w:rsidRPr="0001200D">
        <w:t>,</w:t>
      </w:r>
      <w:r w:rsidRPr="0001200D">
        <w:rPr>
          <w:i/>
        </w:rPr>
        <w:t xml:space="preserve"> 29</w:t>
      </w:r>
      <w:r w:rsidRPr="0001200D">
        <w:t xml:space="preserve">(2), 255-263. </w:t>
      </w:r>
    </w:p>
    <w:p w14:paraId="0AA310DC" w14:textId="1A1CF4AC" w:rsidR="003E5B95" w:rsidRPr="0001200D" w:rsidRDefault="003E5B95" w:rsidP="003E5B95">
      <w:pPr>
        <w:pStyle w:val="EndNoteBibliography"/>
        <w:spacing w:after="240"/>
        <w:ind w:left="720" w:hanging="720"/>
      </w:pPr>
      <w:r w:rsidRPr="0001200D">
        <w:t xml:space="preserve">Cooper, C. L., Dewe, P. J., &amp; O'Driscoll, M. P. (2001). </w:t>
      </w:r>
      <w:r w:rsidRPr="0001200D">
        <w:rPr>
          <w:i/>
        </w:rPr>
        <w:t>Organizational stress: A review and critique of theory, research, and applications</w:t>
      </w:r>
      <w:r w:rsidRPr="0001200D">
        <w:t xml:space="preserve">. Thousand Oaks, CA: Sage. </w:t>
      </w:r>
    </w:p>
    <w:p w14:paraId="2CCA89EF" w14:textId="77777777" w:rsidR="003E5B95" w:rsidRPr="0001200D" w:rsidRDefault="003E5B95" w:rsidP="003E5B95">
      <w:pPr>
        <w:pStyle w:val="EndNoteBibliography"/>
        <w:spacing w:after="240"/>
        <w:ind w:left="720" w:hanging="720"/>
      </w:pPr>
      <w:r w:rsidRPr="0001200D">
        <w:t xml:space="preserve">Cram, W. A., D'arcy, J., &amp; Proudfoot, J. G. (2019). Seeing the forest and the trees: a meta-analysis of the antecedents to information security policy compliance. </w:t>
      </w:r>
      <w:r w:rsidRPr="0001200D">
        <w:rPr>
          <w:i/>
        </w:rPr>
        <w:t>MIS Quarterly</w:t>
      </w:r>
      <w:r w:rsidRPr="0001200D">
        <w:t>,</w:t>
      </w:r>
      <w:r w:rsidRPr="0001200D">
        <w:rPr>
          <w:i/>
        </w:rPr>
        <w:t xml:space="preserve"> 43</w:t>
      </w:r>
      <w:r w:rsidRPr="0001200D">
        <w:t xml:space="preserve">(2), 525-554. </w:t>
      </w:r>
    </w:p>
    <w:p w14:paraId="711A70A2" w14:textId="77777777" w:rsidR="003E5B95" w:rsidRPr="0001200D" w:rsidRDefault="003E5B95" w:rsidP="003E5B95">
      <w:pPr>
        <w:pStyle w:val="EndNoteBibliography"/>
        <w:spacing w:after="240"/>
        <w:ind w:left="720" w:hanging="720"/>
      </w:pPr>
      <w:r w:rsidRPr="0001200D">
        <w:t xml:space="preserve">Crawford, E. R., LePine, J. A., &amp; Rich, B. L. (2010). Linking job demands and resources to employee engagement and burnout: a theoretical extension and meta-analytic test. </w:t>
      </w:r>
      <w:r w:rsidRPr="0001200D">
        <w:rPr>
          <w:i/>
        </w:rPr>
        <w:t>Journal of Applied Psychology</w:t>
      </w:r>
      <w:r w:rsidRPr="0001200D">
        <w:t>,</w:t>
      </w:r>
      <w:r w:rsidRPr="0001200D">
        <w:rPr>
          <w:i/>
        </w:rPr>
        <w:t xml:space="preserve"> 95</w:t>
      </w:r>
      <w:r w:rsidRPr="0001200D">
        <w:t xml:space="preserve">(5), 834. </w:t>
      </w:r>
    </w:p>
    <w:p w14:paraId="1E5FFCC0" w14:textId="77777777" w:rsidR="003E5B95" w:rsidRPr="0001200D" w:rsidRDefault="003E5B95" w:rsidP="003E5B95">
      <w:pPr>
        <w:pStyle w:val="EndNoteBibliography"/>
        <w:spacing w:after="240"/>
        <w:ind w:left="720" w:hanging="720"/>
      </w:pPr>
      <w:r w:rsidRPr="0001200D">
        <w:lastRenderedPageBreak/>
        <w:t xml:space="preserve">D'Arcy, J., Herath, T., &amp; Shoss, M. K. (2014). Understanding employee responses to stressful information security requirements: A coping perspective. </w:t>
      </w:r>
      <w:r w:rsidRPr="0001200D">
        <w:rPr>
          <w:i/>
        </w:rPr>
        <w:t>Journal of Management Information Systems</w:t>
      </w:r>
      <w:r w:rsidRPr="0001200D">
        <w:t>,</w:t>
      </w:r>
      <w:r w:rsidRPr="0001200D">
        <w:rPr>
          <w:i/>
        </w:rPr>
        <w:t xml:space="preserve"> 31</w:t>
      </w:r>
      <w:r w:rsidRPr="0001200D">
        <w:t xml:space="preserve">(2), 285-318. </w:t>
      </w:r>
    </w:p>
    <w:p w14:paraId="63701C01" w14:textId="77777777" w:rsidR="003E5B95" w:rsidRPr="0001200D" w:rsidRDefault="003E5B95" w:rsidP="003E5B95">
      <w:pPr>
        <w:pStyle w:val="EndNoteBibliography"/>
        <w:spacing w:after="240"/>
        <w:ind w:left="720" w:hanging="720"/>
      </w:pPr>
      <w:r w:rsidRPr="0001200D">
        <w:t xml:space="preserve">D’Arcy, J., &amp; Teh, P.-L. (2019). Predicting employee information security policy compliance on a daily basis: the interplay of security-related stress, emotions, and neutralization. </w:t>
      </w:r>
      <w:r w:rsidRPr="0001200D">
        <w:rPr>
          <w:i/>
        </w:rPr>
        <w:t>Information &amp; Management</w:t>
      </w:r>
      <w:r w:rsidRPr="0001200D">
        <w:t>,</w:t>
      </w:r>
      <w:r w:rsidRPr="0001200D">
        <w:rPr>
          <w:i/>
        </w:rPr>
        <w:t xml:space="preserve"> 56</w:t>
      </w:r>
      <w:r w:rsidRPr="0001200D">
        <w:t xml:space="preserve">(7), 103151. </w:t>
      </w:r>
    </w:p>
    <w:p w14:paraId="5EEF2C6D" w14:textId="77777777" w:rsidR="003E5B95" w:rsidRPr="0001200D" w:rsidRDefault="003E5B95" w:rsidP="003E5B95">
      <w:pPr>
        <w:pStyle w:val="EndNoteBibliography"/>
        <w:spacing w:after="240"/>
        <w:ind w:left="720" w:hanging="720"/>
      </w:pPr>
      <w:r w:rsidRPr="0001200D">
        <w:t xml:space="preserve">Demerouti, E., &amp; Bakker, A. B. (2011). The job demands-resources model: Challenges for future research. </w:t>
      </w:r>
      <w:r w:rsidRPr="0001200D">
        <w:rPr>
          <w:i/>
        </w:rPr>
        <w:t>SA Jounral of Industrial Psychology</w:t>
      </w:r>
      <w:r w:rsidRPr="0001200D">
        <w:t>,</w:t>
      </w:r>
      <w:r w:rsidRPr="0001200D">
        <w:rPr>
          <w:i/>
        </w:rPr>
        <w:t xml:space="preserve"> 37</w:t>
      </w:r>
      <w:r w:rsidRPr="0001200D">
        <w:t xml:space="preserve">(2), 1-9. </w:t>
      </w:r>
    </w:p>
    <w:p w14:paraId="1888382D" w14:textId="77777777" w:rsidR="003E5B95" w:rsidRPr="0001200D" w:rsidRDefault="003E5B95" w:rsidP="003E5B95">
      <w:pPr>
        <w:pStyle w:val="EndNoteBibliography"/>
        <w:spacing w:after="240"/>
        <w:ind w:left="720" w:hanging="720"/>
      </w:pPr>
      <w:r w:rsidRPr="0001200D">
        <w:t xml:space="preserve">Demerouti, E., Bakker, A. B., Nachreiner, F., &amp; Schaufeli, W. B. (2001). The job demands-resources model of burnout. </w:t>
      </w:r>
      <w:r w:rsidRPr="0001200D">
        <w:rPr>
          <w:i/>
        </w:rPr>
        <w:t>Journal of Applied Psychology</w:t>
      </w:r>
      <w:r w:rsidRPr="0001200D">
        <w:t>,</w:t>
      </w:r>
      <w:r w:rsidRPr="0001200D">
        <w:rPr>
          <w:i/>
        </w:rPr>
        <w:t xml:space="preserve"> 86</w:t>
      </w:r>
      <w:r w:rsidRPr="0001200D">
        <w:t xml:space="preserve">(3), 499. </w:t>
      </w:r>
    </w:p>
    <w:p w14:paraId="3CDFE360" w14:textId="77777777" w:rsidR="003E5B95" w:rsidRPr="0001200D" w:rsidRDefault="003E5B95" w:rsidP="003E5B95">
      <w:pPr>
        <w:pStyle w:val="EndNoteBibliography"/>
        <w:spacing w:after="240"/>
        <w:ind w:left="720" w:hanging="720"/>
      </w:pPr>
      <w:r w:rsidRPr="0001200D">
        <w:t xml:space="preserve">Di Gangi, P. M., Johnston, A. C., Worrell, J. L., &amp; Thompson, S. C. (2018). What could possibly go wrong? A multi-panel Delphi study of organizational social media risk. </w:t>
      </w:r>
      <w:r w:rsidRPr="0001200D">
        <w:rPr>
          <w:i/>
        </w:rPr>
        <w:t>Information Systems Frontiers</w:t>
      </w:r>
      <w:r w:rsidRPr="0001200D">
        <w:t>,</w:t>
      </w:r>
      <w:r w:rsidRPr="0001200D">
        <w:rPr>
          <w:i/>
        </w:rPr>
        <w:t xml:space="preserve"> 20</w:t>
      </w:r>
      <w:r w:rsidRPr="0001200D">
        <w:t xml:space="preserve">(5), 1097-1116. </w:t>
      </w:r>
      <w:r w:rsidRPr="003E5B95">
        <w:t>https://doi.org/10.1007/s10796-016-9714-2</w:t>
      </w:r>
      <w:r w:rsidRPr="0001200D">
        <w:t xml:space="preserve"> </w:t>
      </w:r>
    </w:p>
    <w:p w14:paraId="7422A939" w14:textId="77777777" w:rsidR="003E5B95" w:rsidRPr="0001200D" w:rsidRDefault="003E5B95" w:rsidP="003E5B95">
      <w:pPr>
        <w:pStyle w:val="EndNoteBibliography"/>
        <w:spacing w:after="240"/>
        <w:ind w:left="720" w:hanging="720"/>
      </w:pPr>
      <w:r w:rsidRPr="0001200D">
        <w:t xml:space="preserve">Dykstra, J., &amp; Paul, C. L. (2018). Cyber Operations Stress Survey (COSS): Studying fatigue, frustration, and cognitive workload in cybersecurity operations. 11th {USENIX} Workshop on Cyber Security Experimentation and Test, </w:t>
      </w:r>
    </w:p>
    <w:p w14:paraId="70C2D741" w14:textId="77777777" w:rsidR="003E5B95" w:rsidRPr="0001200D" w:rsidRDefault="003E5B95" w:rsidP="003E5B95">
      <w:pPr>
        <w:pStyle w:val="EndNoteBibliography"/>
        <w:spacing w:after="240"/>
        <w:ind w:left="720" w:hanging="720"/>
      </w:pPr>
      <w:r w:rsidRPr="0001200D">
        <w:t xml:space="preserve">Garrosa, E., Rainho, C., Moreno-Jimenez, B., &amp; Monteiro, M. J. (2010). The relationship between job stressors, hardy personality, coping resources and burnout in a sample of nurses: A correlational study at two time points. </w:t>
      </w:r>
      <w:r w:rsidRPr="0001200D">
        <w:rPr>
          <w:i/>
        </w:rPr>
        <w:t>International journal of nursing studies</w:t>
      </w:r>
      <w:r w:rsidRPr="0001200D">
        <w:t>,</w:t>
      </w:r>
      <w:r w:rsidRPr="0001200D">
        <w:rPr>
          <w:i/>
        </w:rPr>
        <w:t xml:space="preserve"> 47</w:t>
      </w:r>
      <w:r w:rsidRPr="0001200D">
        <w:t xml:space="preserve">(2), 205-215. </w:t>
      </w:r>
    </w:p>
    <w:p w14:paraId="7DC8DA03" w14:textId="77777777" w:rsidR="003E5B95" w:rsidRPr="0001200D" w:rsidRDefault="003E5B95" w:rsidP="003E5B95">
      <w:pPr>
        <w:pStyle w:val="EndNoteBibliography"/>
        <w:spacing w:after="240"/>
        <w:ind w:left="720" w:hanging="720"/>
      </w:pPr>
      <w:r w:rsidRPr="0001200D">
        <w:t xml:space="preserve">Hargrove, M. B., Becker, W. S., &amp; Hargrove, D. F. (2015). The HRD eustress model: Generating positive stress with challenging work. </w:t>
      </w:r>
      <w:r w:rsidRPr="0001200D">
        <w:rPr>
          <w:i/>
        </w:rPr>
        <w:t>Human resource development review</w:t>
      </w:r>
      <w:r w:rsidRPr="0001200D">
        <w:t>,</w:t>
      </w:r>
      <w:r w:rsidRPr="0001200D">
        <w:rPr>
          <w:i/>
        </w:rPr>
        <w:t xml:space="preserve"> 14</w:t>
      </w:r>
      <w:r w:rsidRPr="0001200D">
        <w:t xml:space="preserve">(3), 279-298. </w:t>
      </w:r>
    </w:p>
    <w:p w14:paraId="1D60999B" w14:textId="77777777" w:rsidR="003E5B95" w:rsidRPr="0001200D" w:rsidRDefault="003E5B95" w:rsidP="003E5B95">
      <w:pPr>
        <w:pStyle w:val="EndNoteBibliography"/>
        <w:spacing w:after="240"/>
        <w:ind w:left="720" w:hanging="720"/>
      </w:pPr>
      <w:r w:rsidRPr="0001200D">
        <w:t xml:space="preserve">Hargrove, M. B., Nelson, D. L., &amp; Cooper, C. L. (2013). Generating eustress by challenging employees: Helping people savor their work. </w:t>
      </w:r>
      <w:r w:rsidRPr="0001200D">
        <w:rPr>
          <w:i/>
        </w:rPr>
        <w:t>Organizational Dynamics</w:t>
      </w:r>
      <w:r w:rsidRPr="0001200D">
        <w:t>,</w:t>
      </w:r>
      <w:r w:rsidRPr="0001200D">
        <w:rPr>
          <w:i/>
        </w:rPr>
        <w:t xml:space="preserve"> 42</w:t>
      </w:r>
      <w:r w:rsidRPr="0001200D">
        <w:t xml:space="preserve">(1), 61-69. </w:t>
      </w:r>
      <w:r w:rsidRPr="003E5B95">
        <w:t>https://doi.org/10.1016/j.orgdyn.2012.12.008</w:t>
      </w:r>
      <w:r w:rsidRPr="0001200D">
        <w:t xml:space="preserve"> </w:t>
      </w:r>
    </w:p>
    <w:p w14:paraId="1DF1942C" w14:textId="77777777" w:rsidR="003E5B95" w:rsidRPr="0001200D" w:rsidRDefault="003E5B95" w:rsidP="003E5B95">
      <w:pPr>
        <w:pStyle w:val="EndNoteBibliography"/>
        <w:spacing w:after="240"/>
        <w:ind w:left="720" w:hanging="720"/>
      </w:pPr>
      <w:r w:rsidRPr="0001200D">
        <w:t xml:space="preserve">HBR. (2019). </w:t>
      </w:r>
      <w:r w:rsidRPr="0001200D">
        <w:rPr>
          <w:i/>
        </w:rPr>
        <w:t>The Public-Private Partnership That’s Working to Make New York City a Global Hub of Cybersecurity Talent</w:t>
      </w:r>
      <w:r w:rsidRPr="0001200D">
        <w:t xml:space="preserve">. Retrieved April 26 from </w:t>
      </w:r>
      <w:r w:rsidRPr="003E5B95">
        <w:t>https://hbr.org/sponsored/2019/06/the-public-private-partnership-thats-working-to-make-new-york-city-a-global-hub-of-cybersecurity-talent</w:t>
      </w:r>
    </w:p>
    <w:p w14:paraId="57CE0CB0" w14:textId="77777777" w:rsidR="003E5B95" w:rsidRPr="0001200D" w:rsidRDefault="003E5B95" w:rsidP="003E5B95">
      <w:pPr>
        <w:pStyle w:val="EndNoteBibliography"/>
        <w:spacing w:after="240"/>
        <w:ind w:left="720" w:hanging="720"/>
      </w:pPr>
      <w:r w:rsidRPr="0001200D">
        <w:t xml:space="preserve">Hobfoll, S. E., Johnson, R. J., Ennis, N., &amp; Jackson, A. P. (2003). Resource loss, resource gain, and emotional outcomes among inner city women. </w:t>
      </w:r>
      <w:r w:rsidRPr="0001200D">
        <w:rPr>
          <w:i/>
        </w:rPr>
        <w:t>Journal of Personality and Social Psychology</w:t>
      </w:r>
      <w:r w:rsidRPr="0001200D">
        <w:t>,</w:t>
      </w:r>
      <w:r w:rsidRPr="0001200D">
        <w:rPr>
          <w:i/>
        </w:rPr>
        <w:t xml:space="preserve"> 84</w:t>
      </w:r>
      <w:r w:rsidRPr="0001200D">
        <w:t xml:space="preserve">(3), 632. </w:t>
      </w:r>
    </w:p>
    <w:p w14:paraId="16C99854" w14:textId="77777777" w:rsidR="003E5B95" w:rsidRPr="0001200D" w:rsidRDefault="003E5B95" w:rsidP="003E5B95">
      <w:pPr>
        <w:pStyle w:val="EndNoteBibliography"/>
        <w:spacing w:after="240"/>
        <w:ind w:left="720" w:hanging="720"/>
      </w:pPr>
      <w:r w:rsidRPr="0001200D">
        <w:t xml:space="preserve">Joseph, D., Ang, S., &amp; Slaughter, S. A. (2015). Turnover or turnaway? Competing risks analysis of male and female IT professionals’ job mobility and relative pay gap. </w:t>
      </w:r>
      <w:r w:rsidRPr="0001200D">
        <w:rPr>
          <w:i/>
        </w:rPr>
        <w:t>Information Systems Research</w:t>
      </w:r>
      <w:r w:rsidRPr="0001200D">
        <w:t>,</w:t>
      </w:r>
      <w:r w:rsidRPr="0001200D">
        <w:rPr>
          <w:i/>
        </w:rPr>
        <w:t xml:space="preserve"> 26</w:t>
      </w:r>
      <w:r w:rsidRPr="0001200D">
        <w:t xml:space="preserve">(1), 145-164. </w:t>
      </w:r>
    </w:p>
    <w:p w14:paraId="4EE58091" w14:textId="77777777" w:rsidR="003E5B95" w:rsidRPr="0001200D" w:rsidRDefault="003E5B95" w:rsidP="003E5B95">
      <w:pPr>
        <w:pStyle w:val="EndNoteBibliography"/>
        <w:spacing w:after="240"/>
        <w:ind w:left="720" w:hanging="720"/>
      </w:pPr>
      <w:r w:rsidRPr="0001200D">
        <w:lastRenderedPageBreak/>
        <w:t xml:space="preserve">Joseph, D., Ng, K.-Y., Koh, C., &amp; Ang, S. (2007). Turnover of information technology professionals: a narrative review, meta-analytic structural equation modeling, and model development. </w:t>
      </w:r>
      <w:r w:rsidRPr="0001200D">
        <w:rPr>
          <w:i/>
        </w:rPr>
        <w:t>MIS Quarterly</w:t>
      </w:r>
      <w:r w:rsidRPr="0001200D">
        <w:t>,</w:t>
      </w:r>
      <w:r w:rsidRPr="0001200D">
        <w:rPr>
          <w:i/>
        </w:rPr>
        <w:t xml:space="preserve"> 31</w:t>
      </w:r>
      <w:r w:rsidRPr="0001200D">
        <w:t xml:space="preserve">(3), 547-577. </w:t>
      </w:r>
    </w:p>
    <w:p w14:paraId="55822167" w14:textId="77777777" w:rsidR="003E5B95" w:rsidRPr="0001200D" w:rsidRDefault="003E5B95" w:rsidP="003E5B95">
      <w:pPr>
        <w:pStyle w:val="EndNoteBibliography"/>
        <w:spacing w:after="240"/>
        <w:ind w:left="720" w:hanging="720"/>
      </w:pPr>
      <w:r w:rsidRPr="0001200D">
        <w:t xml:space="preserve">Kahn, R. L., &amp; Byosiere, P. (1992). </w:t>
      </w:r>
      <w:r w:rsidRPr="0001200D">
        <w:rPr>
          <w:i/>
        </w:rPr>
        <w:t>Stress in organizations, Handbook of Industrial and Organizational Psychology</w:t>
      </w:r>
      <w:r w:rsidRPr="0001200D">
        <w:t xml:space="preserve">. Consulting Psychologists Press,. </w:t>
      </w:r>
    </w:p>
    <w:p w14:paraId="7C484761" w14:textId="77777777" w:rsidR="003E5B95" w:rsidRPr="0001200D" w:rsidRDefault="003E5B95" w:rsidP="003E5B95">
      <w:pPr>
        <w:pStyle w:val="EndNoteBibliography"/>
        <w:spacing w:after="240"/>
        <w:ind w:left="720" w:hanging="720"/>
      </w:pPr>
      <w:r w:rsidRPr="0001200D">
        <w:t xml:space="preserve">Kim, W., Han, S. J., &amp; Park, J. (2019). Is the Role of Work Engagement Essential to Employee Performance or ‘Nice to Have’? </w:t>
      </w:r>
      <w:r w:rsidRPr="0001200D">
        <w:rPr>
          <w:i/>
        </w:rPr>
        <w:t>Sustainability</w:t>
      </w:r>
      <w:r w:rsidRPr="0001200D">
        <w:t>,</w:t>
      </w:r>
      <w:r w:rsidRPr="0001200D">
        <w:rPr>
          <w:i/>
        </w:rPr>
        <w:t xml:space="preserve"> 11</w:t>
      </w:r>
      <w:r w:rsidRPr="0001200D">
        <w:t xml:space="preserve">(4), 1050. </w:t>
      </w:r>
    </w:p>
    <w:p w14:paraId="7BE741B5" w14:textId="77777777" w:rsidR="003E5B95" w:rsidRPr="0001200D" w:rsidRDefault="003E5B95" w:rsidP="003E5B95">
      <w:pPr>
        <w:pStyle w:val="EndNoteBibliography"/>
        <w:spacing w:after="240"/>
        <w:ind w:left="720" w:hanging="720"/>
      </w:pPr>
      <w:r w:rsidRPr="0001200D">
        <w:t xml:space="preserve">Kristensen, T. S., Borritz, M., Villadsen, E., &amp; Christensen, K. B. (2005). The Copenhagen Burnout Inventory: A new tool for the assessment of burnout. </w:t>
      </w:r>
      <w:r w:rsidRPr="0001200D">
        <w:rPr>
          <w:i/>
        </w:rPr>
        <w:t>Work &amp; Stress</w:t>
      </w:r>
      <w:r w:rsidRPr="0001200D">
        <w:t>,</w:t>
      </w:r>
      <w:r w:rsidRPr="0001200D">
        <w:rPr>
          <w:i/>
        </w:rPr>
        <w:t xml:space="preserve"> 19</w:t>
      </w:r>
      <w:r w:rsidRPr="0001200D">
        <w:t xml:space="preserve">(3), 192-207. </w:t>
      </w:r>
    </w:p>
    <w:p w14:paraId="71D0A520" w14:textId="762A70CF" w:rsidR="003E5B95" w:rsidRPr="0001200D" w:rsidRDefault="003E5B95" w:rsidP="003E5B95">
      <w:pPr>
        <w:pStyle w:val="EndNoteBibliography"/>
        <w:spacing w:after="240"/>
        <w:ind w:left="720" w:hanging="720"/>
      </w:pPr>
      <w:r w:rsidRPr="0001200D">
        <w:t xml:space="preserve">Lazarus, R. S., &amp; Folkman, S. (1984). </w:t>
      </w:r>
      <w:r w:rsidRPr="0001200D">
        <w:rPr>
          <w:i/>
        </w:rPr>
        <w:t>Stress, appraisal, and coping</w:t>
      </w:r>
      <w:r w:rsidRPr="0001200D">
        <w:t xml:space="preserve">. </w:t>
      </w:r>
      <w:r w:rsidR="00210BC4">
        <w:t xml:space="preserve">New York: </w:t>
      </w:r>
      <w:r w:rsidRPr="0001200D">
        <w:t xml:space="preserve">Springer publishing company. </w:t>
      </w:r>
    </w:p>
    <w:p w14:paraId="6C5BBDE0" w14:textId="77777777" w:rsidR="003E5B95" w:rsidRPr="0001200D" w:rsidRDefault="003E5B95" w:rsidP="003E5B95">
      <w:pPr>
        <w:pStyle w:val="EndNoteBibliography"/>
        <w:spacing w:after="240"/>
        <w:ind w:left="720" w:hanging="720"/>
      </w:pPr>
      <w:r w:rsidRPr="0001200D">
        <w:t xml:space="preserve">Leiter, M. P., &amp; Maslach, C. (1988). The impact of interpersonal environment on burnout and organizational commitment. </w:t>
      </w:r>
      <w:r w:rsidRPr="0001200D">
        <w:rPr>
          <w:i/>
        </w:rPr>
        <w:t>Journal of Organizational Behavior</w:t>
      </w:r>
      <w:r w:rsidRPr="0001200D">
        <w:t>,</w:t>
      </w:r>
      <w:r w:rsidRPr="0001200D">
        <w:rPr>
          <w:i/>
        </w:rPr>
        <w:t xml:space="preserve"> 9</w:t>
      </w:r>
      <w:r w:rsidRPr="0001200D">
        <w:t xml:space="preserve">(4), 297-308. </w:t>
      </w:r>
    </w:p>
    <w:p w14:paraId="169020F4" w14:textId="77777777" w:rsidR="003E5B95" w:rsidRPr="0001200D" w:rsidRDefault="003E5B95" w:rsidP="003E5B95">
      <w:pPr>
        <w:pStyle w:val="EndNoteBibliography"/>
        <w:spacing w:after="240"/>
        <w:ind w:left="720" w:hanging="720"/>
      </w:pPr>
      <w:r w:rsidRPr="0001200D">
        <w:t xml:space="preserve">LePine, J. A., LePine, M. A., &amp; Jackson, C. L. (2004). Challenge and hindrance stress: relationships with exhaustion, motivation to learn, and learning performance. </w:t>
      </w:r>
      <w:r w:rsidRPr="0001200D">
        <w:rPr>
          <w:i/>
        </w:rPr>
        <w:t>Journal of Applied Psychology</w:t>
      </w:r>
      <w:r w:rsidRPr="0001200D">
        <w:t>,</w:t>
      </w:r>
      <w:r w:rsidRPr="0001200D">
        <w:rPr>
          <w:i/>
        </w:rPr>
        <w:t xml:space="preserve"> 89</w:t>
      </w:r>
      <w:r w:rsidRPr="0001200D">
        <w:t xml:space="preserve">(5), 883-891. </w:t>
      </w:r>
    </w:p>
    <w:p w14:paraId="324CFDBE" w14:textId="77777777" w:rsidR="003E5B95" w:rsidRPr="0001200D" w:rsidRDefault="003E5B95" w:rsidP="003E5B95">
      <w:pPr>
        <w:pStyle w:val="EndNoteBibliography"/>
        <w:spacing w:after="240"/>
        <w:ind w:left="720" w:hanging="720"/>
      </w:pPr>
      <w:r w:rsidRPr="0001200D">
        <w:t xml:space="preserve">LePine, J. A., Podsakoff, N. P., &amp; LePine, M. A. (2005). A meta-analytic test of the challenge stressor–hindrance stressor framework: An explanation for inconsistent relationships among stressors and performance. </w:t>
      </w:r>
      <w:r w:rsidRPr="0001200D">
        <w:rPr>
          <w:i/>
        </w:rPr>
        <w:t>Academy of Management Journal</w:t>
      </w:r>
      <w:r w:rsidRPr="0001200D">
        <w:t>,</w:t>
      </w:r>
      <w:r w:rsidRPr="0001200D">
        <w:rPr>
          <w:i/>
        </w:rPr>
        <w:t xml:space="preserve"> 48</w:t>
      </w:r>
      <w:r w:rsidRPr="0001200D">
        <w:t xml:space="preserve">(5), 764-775. </w:t>
      </w:r>
    </w:p>
    <w:p w14:paraId="4EAF3857" w14:textId="77777777" w:rsidR="003E5B95" w:rsidRPr="0001200D" w:rsidRDefault="003E5B95" w:rsidP="003E5B95">
      <w:pPr>
        <w:pStyle w:val="EndNoteBibliography"/>
        <w:spacing w:after="240"/>
        <w:ind w:left="720" w:hanging="720"/>
      </w:pPr>
      <w:r w:rsidRPr="0001200D">
        <w:t xml:space="preserve">Lo, J. (2015). The information technology workforce: A review and assessment of voluntary turnover research. </w:t>
      </w:r>
      <w:r w:rsidRPr="0001200D">
        <w:rPr>
          <w:i/>
        </w:rPr>
        <w:t>Information Systems Frontiers</w:t>
      </w:r>
      <w:r w:rsidRPr="0001200D">
        <w:t>,</w:t>
      </w:r>
      <w:r w:rsidRPr="0001200D">
        <w:rPr>
          <w:i/>
        </w:rPr>
        <w:t xml:space="preserve"> 17</w:t>
      </w:r>
      <w:r w:rsidRPr="0001200D">
        <w:t xml:space="preserve">(2), 387-411. </w:t>
      </w:r>
    </w:p>
    <w:p w14:paraId="33114509" w14:textId="77777777" w:rsidR="003E5B95" w:rsidRPr="0001200D" w:rsidRDefault="003E5B95" w:rsidP="003E5B95">
      <w:pPr>
        <w:pStyle w:val="EndNoteBibliography"/>
        <w:spacing w:after="240"/>
        <w:ind w:left="720" w:hanging="720"/>
      </w:pPr>
      <w:r w:rsidRPr="0001200D">
        <w:t xml:space="preserve">McCauley, C. D., Ruderman, M. N., Ohlott, P. J., &amp; Morrow, J. E. (1994). Assessing the developmental components of managerial jobs. </w:t>
      </w:r>
      <w:r w:rsidRPr="0001200D">
        <w:rPr>
          <w:i/>
        </w:rPr>
        <w:t>Journal of Applied Psychology</w:t>
      </w:r>
      <w:r w:rsidRPr="0001200D">
        <w:t>,</w:t>
      </w:r>
      <w:r w:rsidRPr="0001200D">
        <w:rPr>
          <w:i/>
        </w:rPr>
        <w:t xml:space="preserve"> 79</w:t>
      </w:r>
      <w:r w:rsidRPr="0001200D">
        <w:t xml:space="preserve">(4), 544. </w:t>
      </w:r>
    </w:p>
    <w:p w14:paraId="38924588" w14:textId="77777777" w:rsidR="003E5B95" w:rsidRPr="0001200D" w:rsidRDefault="003E5B95" w:rsidP="003E5B95">
      <w:pPr>
        <w:pStyle w:val="EndNoteBibliography"/>
        <w:spacing w:after="240"/>
        <w:ind w:left="720" w:hanging="720"/>
      </w:pPr>
      <w:r w:rsidRPr="0001200D">
        <w:t xml:space="preserve">McKnight, D. H., Phillips, B., &amp; Hardgrave, B. C. (2009). Which reduces IT turnover intention the most: Workplace characteristics or job characteristics? </w:t>
      </w:r>
      <w:r w:rsidRPr="0001200D">
        <w:rPr>
          <w:i/>
        </w:rPr>
        <w:t>Information &amp; Management</w:t>
      </w:r>
      <w:r w:rsidRPr="0001200D">
        <w:t>,</w:t>
      </w:r>
      <w:r w:rsidRPr="0001200D">
        <w:rPr>
          <w:i/>
        </w:rPr>
        <w:t xml:space="preserve"> 46</w:t>
      </w:r>
      <w:r w:rsidRPr="0001200D">
        <w:t xml:space="preserve">(3), 167-174. </w:t>
      </w:r>
    </w:p>
    <w:p w14:paraId="5E825563" w14:textId="77777777" w:rsidR="003E5B95" w:rsidRPr="0001200D" w:rsidRDefault="003E5B95" w:rsidP="003E5B95">
      <w:pPr>
        <w:pStyle w:val="EndNoteBibliography"/>
        <w:spacing w:after="240"/>
        <w:ind w:left="720" w:hanging="720"/>
      </w:pPr>
      <w:r w:rsidRPr="0001200D">
        <w:t xml:space="preserve">McManus, J., &amp; Mosca, J. (2015). Strategies to build trust and improve employee engagement. </w:t>
      </w:r>
      <w:r w:rsidRPr="0001200D">
        <w:rPr>
          <w:i/>
        </w:rPr>
        <w:t>International Journal of Management &amp; Information Systems (IJMIS)</w:t>
      </w:r>
      <w:r w:rsidRPr="0001200D">
        <w:t>,</w:t>
      </w:r>
      <w:r w:rsidRPr="0001200D">
        <w:rPr>
          <w:i/>
        </w:rPr>
        <w:t xml:space="preserve"> 19</w:t>
      </w:r>
      <w:r w:rsidRPr="0001200D">
        <w:t xml:space="preserve">(1), 37-42. </w:t>
      </w:r>
    </w:p>
    <w:p w14:paraId="49128EC8" w14:textId="77777777" w:rsidR="003E5B95" w:rsidRPr="0001200D" w:rsidRDefault="003E5B95" w:rsidP="003E5B95">
      <w:pPr>
        <w:pStyle w:val="EndNoteBibliography"/>
        <w:spacing w:after="240"/>
        <w:ind w:left="720" w:hanging="720"/>
      </w:pPr>
      <w:r w:rsidRPr="0001200D">
        <w:t xml:space="preserve">Menard, P., Bott, G. J., &amp; Crossler, R. E. (2017). User motivations in protecting information security: Protection motivation theory versus self-determination theory. </w:t>
      </w:r>
      <w:r w:rsidRPr="0001200D">
        <w:rPr>
          <w:i/>
        </w:rPr>
        <w:t>Journal of Management Information Systems</w:t>
      </w:r>
      <w:r w:rsidRPr="0001200D">
        <w:t>,</w:t>
      </w:r>
      <w:r w:rsidRPr="0001200D">
        <w:rPr>
          <w:i/>
        </w:rPr>
        <w:t xml:space="preserve"> 34</w:t>
      </w:r>
      <w:r w:rsidRPr="0001200D">
        <w:t xml:space="preserve">(4), 1203-1230. </w:t>
      </w:r>
    </w:p>
    <w:p w14:paraId="67FC63FF" w14:textId="39B2ACDA" w:rsidR="003E5B95" w:rsidRPr="0001200D" w:rsidRDefault="003E5B95" w:rsidP="003E5B95">
      <w:pPr>
        <w:pStyle w:val="EndNoteBibliography"/>
        <w:spacing w:after="240"/>
        <w:ind w:left="720" w:hanging="720"/>
      </w:pPr>
      <w:r w:rsidRPr="0001200D">
        <w:lastRenderedPageBreak/>
        <w:t xml:space="preserve">Moore, J. E. (2000). One Road To Turnover: An Examination Of Work Exhaustion in Technology Professionals. </w:t>
      </w:r>
      <w:r w:rsidRPr="0001200D">
        <w:rPr>
          <w:i/>
        </w:rPr>
        <w:t>MIS Quarterly</w:t>
      </w:r>
      <w:r w:rsidRPr="0001200D">
        <w:t>,</w:t>
      </w:r>
      <w:r w:rsidRPr="0001200D">
        <w:rPr>
          <w:i/>
        </w:rPr>
        <w:t xml:space="preserve"> 24</w:t>
      </w:r>
      <w:r w:rsidRPr="0001200D">
        <w:t xml:space="preserve">(1), 141-168. </w:t>
      </w:r>
      <w:r w:rsidRPr="003E5B95">
        <w:t>https://doi.org/10.2307/3250982</w:t>
      </w:r>
      <w:r w:rsidRPr="0001200D">
        <w:t xml:space="preserve"> </w:t>
      </w:r>
    </w:p>
    <w:p w14:paraId="58952991" w14:textId="77777777" w:rsidR="003E5B95" w:rsidRPr="0001200D" w:rsidRDefault="003E5B95" w:rsidP="003E5B95">
      <w:pPr>
        <w:pStyle w:val="EndNoteBibliography"/>
        <w:spacing w:after="240"/>
        <w:ind w:left="720" w:hanging="720"/>
      </w:pPr>
      <w:r w:rsidRPr="0001200D">
        <w:t xml:space="preserve">Nelson, D. L., &amp; Simmons, B. L. (2011). Savoring eustress while coping with distress: The holistic model of stress. In </w:t>
      </w:r>
      <w:r w:rsidRPr="0001200D">
        <w:rPr>
          <w:i/>
        </w:rPr>
        <w:t>Handbook of occupational health psychology</w:t>
      </w:r>
      <w:r w:rsidRPr="0001200D">
        <w:t xml:space="preserve"> (2 ed., pp. 55-74). American Psychological Association. </w:t>
      </w:r>
    </w:p>
    <w:p w14:paraId="6D688A25" w14:textId="77777777" w:rsidR="003E5B95" w:rsidRPr="0001200D" w:rsidRDefault="003E5B95" w:rsidP="003E5B95">
      <w:pPr>
        <w:pStyle w:val="EndNoteBibliography"/>
        <w:spacing w:after="240"/>
        <w:ind w:left="720" w:hanging="720"/>
      </w:pPr>
      <w:r w:rsidRPr="0001200D">
        <w:t xml:space="preserve">Newhouse, W., Keith, S., Scribner, B., &amp; Witte, G. (2017). National Initiative for Cybersecurity Education (NICE) Cybersecurity Workforce Framework. </w:t>
      </w:r>
      <w:r w:rsidRPr="0001200D">
        <w:rPr>
          <w:i/>
        </w:rPr>
        <w:t>NIST Special Publication</w:t>
      </w:r>
      <w:r w:rsidRPr="0001200D">
        <w:t>,</w:t>
      </w:r>
      <w:r w:rsidRPr="0001200D">
        <w:rPr>
          <w:i/>
        </w:rPr>
        <w:t xml:space="preserve"> 800</w:t>
      </w:r>
      <w:r w:rsidRPr="0001200D">
        <w:t xml:space="preserve">, 181. </w:t>
      </w:r>
    </w:p>
    <w:p w14:paraId="5E88B1EA" w14:textId="77777777" w:rsidR="003E5B95" w:rsidRPr="0001200D" w:rsidRDefault="003E5B95" w:rsidP="003E5B95">
      <w:pPr>
        <w:pStyle w:val="EndNoteBibliography"/>
        <w:spacing w:after="240"/>
        <w:ind w:left="720" w:hanging="720"/>
      </w:pPr>
      <w:r w:rsidRPr="0001200D">
        <w:t xml:space="preserve">Oltsik, J. (2019). </w:t>
      </w:r>
      <w:r w:rsidRPr="0001200D">
        <w:rPr>
          <w:i/>
        </w:rPr>
        <w:t xml:space="preserve">The Life and Times of Cybersecurity Professionals 2018 </w:t>
      </w:r>
      <w:r w:rsidRPr="0001200D">
        <w:t xml:space="preserve">Retrieved Mar 2, 2020 from </w:t>
      </w:r>
      <w:r w:rsidRPr="003E5B95">
        <w:t>https://www.esg-global.com/hubfs/pdf/ESG-ISSA-Research-Report-Life-of-Cybersecurity-Professionals-Apr-2019.pdf</w:t>
      </w:r>
    </w:p>
    <w:p w14:paraId="3D1E3D3E" w14:textId="77777777" w:rsidR="003E5B95" w:rsidRPr="0001200D" w:rsidRDefault="003E5B95" w:rsidP="003E5B95">
      <w:pPr>
        <w:pStyle w:val="EndNoteBibliography"/>
        <w:spacing w:after="240"/>
        <w:ind w:left="720" w:hanging="720"/>
      </w:pPr>
      <w:r w:rsidRPr="0001200D">
        <w:t xml:space="preserve">Oltsik, J. (2019). </w:t>
      </w:r>
      <w:r w:rsidRPr="0001200D">
        <w:rPr>
          <w:i/>
        </w:rPr>
        <w:t>The most stressful aspects of being a cybersecurity professional</w:t>
      </w:r>
      <w:r w:rsidRPr="0001200D">
        <w:t xml:space="preserve">. CSO United States. Retrieved 25 Oct, 2019 from </w:t>
      </w:r>
      <w:r w:rsidRPr="003E5B95">
        <w:t>https://www.csoonline.com/article/3395865/the-most-stressful-aspects-of-being-a-cybersecurity-professional.html</w:t>
      </w:r>
    </w:p>
    <w:p w14:paraId="4C204831" w14:textId="77777777" w:rsidR="003E5B95" w:rsidRPr="0001200D" w:rsidRDefault="003E5B95" w:rsidP="003E5B95">
      <w:pPr>
        <w:pStyle w:val="EndNoteBibliography"/>
        <w:spacing w:after="240"/>
        <w:ind w:left="720" w:hanging="720"/>
      </w:pPr>
      <w:r w:rsidRPr="0001200D">
        <w:t xml:space="preserve">Oltsik, J., &amp; Alexander, C. (2018). </w:t>
      </w:r>
      <w:r w:rsidRPr="0001200D">
        <w:rPr>
          <w:i/>
        </w:rPr>
        <w:t>The Life and Times of Cybersecurity Professionals</w:t>
      </w:r>
      <w:r w:rsidRPr="0001200D">
        <w:t xml:space="preserve">. Retrieved 2 Feb, 2020 from </w:t>
      </w:r>
      <w:r w:rsidRPr="003E5B95">
        <w:t>https://www.esg-global.com/hubfs/pdf/ESG-ISSA-Research-Report-Life-of-Cybersecurity-Professionals-Apr-2019.pdf</w:t>
      </w:r>
    </w:p>
    <w:p w14:paraId="0D7E6362" w14:textId="2B78C92B" w:rsidR="003E5B95" w:rsidRPr="0001200D" w:rsidRDefault="003E5B95" w:rsidP="003E5B95">
      <w:pPr>
        <w:pStyle w:val="EndNoteBibliography"/>
        <w:spacing w:after="240"/>
        <w:ind w:left="720" w:hanging="720"/>
      </w:pPr>
      <w:r w:rsidRPr="0001200D">
        <w:t xml:space="preserve">Pierce, J. L., &amp; Gardner, D. G. (2004). Self-esteem within the work and organizational context: A review of the organization-based self-esteem literature. </w:t>
      </w:r>
      <w:r w:rsidRPr="0001200D">
        <w:rPr>
          <w:i/>
        </w:rPr>
        <w:t xml:space="preserve">Journal of </w:t>
      </w:r>
      <w:r w:rsidR="00210BC4">
        <w:rPr>
          <w:i/>
        </w:rPr>
        <w:t>M</w:t>
      </w:r>
      <w:r w:rsidRPr="0001200D">
        <w:rPr>
          <w:i/>
        </w:rPr>
        <w:t>anagement</w:t>
      </w:r>
      <w:r w:rsidRPr="0001200D">
        <w:t>,</w:t>
      </w:r>
      <w:r w:rsidRPr="0001200D">
        <w:rPr>
          <w:i/>
        </w:rPr>
        <w:t xml:space="preserve"> 30</w:t>
      </w:r>
      <w:r w:rsidRPr="0001200D">
        <w:t xml:space="preserve">(5), 591-622. </w:t>
      </w:r>
    </w:p>
    <w:p w14:paraId="44B76970" w14:textId="77777777" w:rsidR="003E5B95" w:rsidRPr="0001200D" w:rsidRDefault="003E5B95" w:rsidP="003E5B95">
      <w:pPr>
        <w:pStyle w:val="EndNoteBibliography"/>
        <w:spacing w:after="240"/>
        <w:ind w:left="720" w:hanging="720"/>
      </w:pPr>
      <w:r w:rsidRPr="0001200D">
        <w:t xml:space="preserve">Podsakoff, N. P., LePine, J. A., &amp; LePine, M. A. (2007). Differential challenge stressor-hindrance stressor relationships with job attitudes, turnover intentions, turnover, and withdrawal behavior: a meta-analysis. </w:t>
      </w:r>
      <w:r w:rsidRPr="0001200D">
        <w:rPr>
          <w:i/>
        </w:rPr>
        <w:t>Journal of Applied Psychology</w:t>
      </w:r>
      <w:r w:rsidRPr="0001200D">
        <w:t>,</w:t>
      </w:r>
      <w:r w:rsidRPr="0001200D">
        <w:rPr>
          <w:i/>
        </w:rPr>
        <w:t xml:space="preserve"> 92</w:t>
      </w:r>
      <w:r w:rsidRPr="0001200D">
        <w:t xml:space="preserve">(2), 438-454. </w:t>
      </w:r>
    </w:p>
    <w:p w14:paraId="4B54C86D" w14:textId="77777777" w:rsidR="003E5B95" w:rsidRPr="0001200D" w:rsidRDefault="003E5B95" w:rsidP="003E5B95">
      <w:pPr>
        <w:pStyle w:val="EndNoteBibliography"/>
        <w:spacing w:after="240"/>
        <w:ind w:left="720" w:hanging="720"/>
      </w:pPr>
      <w:r w:rsidRPr="0001200D">
        <w:t xml:space="preserve">Podsakoff, P. M., MacKenzie, S. B., Lee, J.-Y., &amp; Podsakoff, N. P. (2003). Common method biases in behavioral research: A critical review of the literature and recommended remedies. </w:t>
      </w:r>
      <w:r w:rsidRPr="0001200D">
        <w:rPr>
          <w:i/>
        </w:rPr>
        <w:t>Journal of Applied Psychology</w:t>
      </w:r>
      <w:r w:rsidRPr="0001200D">
        <w:t>,</w:t>
      </w:r>
      <w:r w:rsidRPr="0001200D">
        <w:rPr>
          <w:i/>
        </w:rPr>
        <w:t xml:space="preserve"> 88</w:t>
      </w:r>
      <w:r w:rsidRPr="0001200D">
        <w:t xml:space="preserve">(5), 879-903. </w:t>
      </w:r>
    </w:p>
    <w:p w14:paraId="0E99D62B" w14:textId="49E8A863" w:rsidR="003E5B95" w:rsidRPr="0001200D" w:rsidRDefault="003E5B95" w:rsidP="003E5B95">
      <w:pPr>
        <w:pStyle w:val="EndNoteBibliography"/>
        <w:spacing w:after="240"/>
        <w:ind w:left="720" w:hanging="720"/>
      </w:pPr>
      <w:r w:rsidRPr="0001200D">
        <w:t xml:space="preserve">Ponemon. (2014). </w:t>
      </w:r>
      <w:r w:rsidRPr="0001200D">
        <w:rPr>
          <w:i/>
        </w:rPr>
        <w:t>Understaffed and at Risk:</w:t>
      </w:r>
      <w:r w:rsidR="00C46BBC">
        <w:rPr>
          <w:i/>
        </w:rPr>
        <w:t xml:space="preserve"> </w:t>
      </w:r>
      <w:r w:rsidRPr="0001200D">
        <w:rPr>
          <w:i/>
        </w:rPr>
        <w:t xml:space="preserve">Today’s IT Security Department </w:t>
      </w:r>
      <w:r w:rsidRPr="0001200D">
        <w:t xml:space="preserve">Retrieved 2 Feb from </w:t>
      </w:r>
      <w:r w:rsidRPr="003E5B95">
        <w:t>https://www.ponemon.org/local/upload/file/IT%20Security%20Jobs%20Research%20Report%20FINAL4.pdf</w:t>
      </w:r>
    </w:p>
    <w:p w14:paraId="3EB9D78F" w14:textId="77777777" w:rsidR="003E5B95" w:rsidRPr="0001200D" w:rsidRDefault="003E5B95" w:rsidP="003E5B95">
      <w:pPr>
        <w:pStyle w:val="EndNoteBibliography"/>
        <w:spacing w:after="240"/>
        <w:ind w:left="720" w:hanging="720"/>
      </w:pPr>
      <w:r w:rsidRPr="0001200D">
        <w:t xml:space="preserve">Posey, C., Bennett, R. J., &amp; Roberts, T. L. (2011). Understanding the mindset of the abusive insider: An examination of insiders’ causal reasoning following internal security changes. </w:t>
      </w:r>
      <w:r w:rsidRPr="0001200D">
        <w:rPr>
          <w:i/>
        </w:rPr>
        <w:t>COmputers Security</w:t>
      </w:r>
      <w:r w:rsidRPr="0001200D">
        <w:t>,</w:t>
      </w:r>
      <w:r w:rsidRPr="0001200D">
        <w:rPr>
          <w:i/>
        </w:rPr>
        <w:t xml:space="preserve"> 30</w:t>
      </w:r>
      <w:r w:rsidRPr="0001200D">
        <w:t xml:space="preserve">(6-7), 486-497. </w:t>
      </w:r>
    </w:p>
    <w:p w14:paraId="7A8F5BAB" w14:textId="77777777" w:rsidR="003E5B95" w:rsidRPr="0001200D" w:rsidRDefault="003E5B95" w:rsidP="003E5B95">
      <w:pPr>
        <w:pStyle w:val="EndNoteBibliography"/>
        <w:spacing w:after="240"/>
        <w:ind w:left="720" w:hanging="720"/>
      </w:pPr>
      <w:r w:rsidRPr="0001200D">
        <w:t xml:space="preserve">Posey, C., Roberts, T. L., Lowry, P. B., &amp; Hightower, R. T. (2014). Bridging the divide: A qualitative comparison of information security thought patterns between information </w:t>
      </w:r>
      <w:r w:rsidRPr="0001200D">
        <w:lastRenderedPageBreak/>
        <w:t xml:space="preserve">security professionals and ordinary organizational insiders. </w:t>
      </w:r>
      <w:r w:rsidRPr="0001200D">
        <w:rPr>
          <w:i/>
        </w:rPr>
        <w:t>Information &amp; Management</w:t>
      </w:r>
      <w:r w:rsidRPr="0001200D">
        <w:t>,</w:t>
      </w:r>
      <w:r w:rsidRPr="0001200D">
        <w:rPr>
          <w:i/>
        </w:rPr>
        <w:t xml:space="preserve"> 51</w:t>
      </w:r>
      <w:r w:rsidRPr="0001200D">
        <w:t xml:space="preserve">(5), 551-567. </w:t>
      </w:r>
      <w:r w:rsidRPr="003E5B95">
        <w:t>https://doi.org/https://doi.org/10.1016/j.im.2014.03.009</w:t>
      </w:r>
      <w:r w:rsidRPr="0001200D">
        <w:t xml:space="preserve"> </w:t>
      </w:r>
    </w:p>
    <w:p w14:paraId="68BC9D57" w14:textId="77777777" w:rsidR="003E5B95" w:rsidRPr="0001200D" w:rsidRDefault="003E5B95" w:rsidP="003E5B95">
      <w:pPr>
        <w:pStyle w:val="EndNoteBibliography"/>
        <w:spacing w:after="240"/>
        <w:ind w:left="720" w:hanging="720"/>
      </w:pPr>
      <w:r w:rsidRPr="0001200D">
        <w:t xml:space="preserve">Schaufeli, W. B., &amp; Bakker, A. B. (2004). Job demands, job resources, and their relationship with burnout and engagement: A multi‐sample study. </w:t>
      </w:r>
      <w:r w:rsidRPr="0001200D">
        <w:rPr>
          <w:i/>
        </w:rPr>
        <w:t>Journal of Organizational Behavior: The International Journal of Industrial, Occupational and Organizational Psychology and Behavior</w:t>
      </w:r>
      <w:r w:rsidRPr="0001200D">
        <w:t>,</w:t>
      </w:r>
      <w:r w:rsidRPr="0001200D">
        <w:rPr>
          <w:i/>
        </w:rPr>
        <w:t xml:space="preserve"> 25</w:t>
      </w:r>
      <w:r w:rsidRPr="0001200D">
        <w:t xml:space="preserve">(3), 293-315. </w:t>
      </w:r>
    </w:p>
    <w:p w14:paraId="26ECF3F0" w14:textId="77777777" w:rsidR="003E5B95" w:rsidRPr="0001200D" w:rsidRDefault="003E5B95" w:rsidP="003E5B95">
      <w:pPr>
        <w:pStyle w:val="EndNoteBibliography"/>
        <w:spacing w:after="240"/>
        <w:ind w:left="720" w:hanging="720"/>
      </w:pPr>
      <w:r w:rsidRPr="0001200D">
        <w:t xml:space="preserve">Schaufeli, W. B., Salanova, M., González-Romá, V., &amp; Bakker, A. B. (2002). The measurement of engagement and burnout: A two sample confirmatory factor analytic approach. </w:t>
      </w:r>
      <w:r w:rsidRPr="0001200D">
        <w:rPr>
          <w:i/>
        </w:rPr>
        <w:t>Journal of Happiness studies</w:t>
      </w:r>
      <w:r w:rsidRPr="0001200D">
        <w:t>,</w:t>
      </w:r>
      <w:r w:rsidRPr="0001200D">
        <w:rPr>
          <w:i/>
        </w:rPr>
        <w:t xml:space="preserve"> 3</w:t>
      </w:r>
      <w:r w:rsidRPr="0001200D">
        <w:t xml:space="preserve">(1), 71-92. </w:t>
      </w:r>
    </w:p>
    <w:p w14:paraId="6B571627" w14:textId="77777777" w:rsidR="003E5B95" w:rsidRPr="0001200D" w:rsidRDefault="003E5B95" w:rsidP="003E5B95">
      <w:pPr>
        <w:pStyle w:val="EndNoteBibliography"/>
        <w:spacing w:after="240"/>
        <w:ind w:left="720" w:hanging="720"/>
      </w:pPr>
      <w:r w:rsidRPr="0001200D">
        <w:t xml:space="preserve">Schaufeli, W. B., &amp; Taris, T. W. (2014). A critical review of the job demands-resources model: Implications for improving work and health. In </w:t>
      </w:r>
      <w:r w:rsidRPr="0001200D">
        <w:rPr>
          <w:i/>
        </w:rPr>
        <w:t>Bridging occupational, organizational and public health</w:t>
      </w:r>
      <w:r w:rsidRPr="0001200D">
        <w:t xml:space="preserve"> (pp. 43-68). Springer. </w:t>
      </w:r>
    </w:p>
    <w:p w14:paraId="06F9B974" w14:textId="77777777" w:rsidR="003E5B95" w:rsidRPr="0001200D" w:rsidRDefault="003E5B95" w:rsidP="003E5B95">
      <w:pPr>
        <w:pStyle w:val="EndNoteBibliography"/>
        <w:spacing w:after="240"/>
        <w:ind w:left="720" w:hanging="720"/>
      </w:pPr>
      <w:r w:rsidRPr="0001200D">
        <w:t xml:space="preserve">Schaufeli, W. B., Taris, T. W., &amp; Van Rhenen, W. (2008). Workaholism, burnout, and work engagement: Three of a kind or three different kinds of employee well‐being? </w:t>
      </w:r>
      <w:r w:rsidRPr="0001200D">
        <w:rPr>
          <w:i/>
        </w:rPr>
        <w:t>Applied psychology</w:t>
      </w:r>
      <w:r w:rsidRPr="0001200D">
        <w:t>,</w:t>
      </w:r>
      <w:r w:rsidRPr="0001200D">
        <w:rPr>
          <w:i/>
        </w:rPr>
        <w:t xml:space="preserve"> 57</w:t>
      </w:r>
      <w:r w:rsidRPr="0001200D">
        <w:t xml:space="preserve">(2), 173-203. </w:t>
      </w:r>
    </w:p>
    <w:p w14:paraId="354C3E2E" w14:textId="77777777" w:rsidR="003E5B95" w:rsidRPr="0001200D" w:rsidRDefault="003E5B95" w:rsidP="003E5B95">
      <w:pPr>
        <w:pStyle w:val="EndNoteBibliography"/>
        <w:spacing w:after="240"/>
        <w:ind w:left="720" w:hanging="720"/>
      </w:pPr>
      <w:r w:rsidRPr="0001200D">
        <w:t xml:space="preserve">Scheier, M. F., Carver, C. S., &amp; Bridges, M. W. (1994). Distinguishing optimism from neuroticism (and trait anxiety, self-mastery, and self-esteem): a reevaluation of the Life Orientation Test. </w:t>
      </w:r>
      <w:r w:rsidRPr="0001200D">
        <w:rPr>
          <w:i/>
        </w:rPr>
        <w:t>Journal of Personality and Social Psychology</w:t>
      </w:r>
      <w:r w:rsidRPr="0001200D">
        <w:t>,</w:t>
      </w:r>
      <w:r w:rsidRPr="0001200D">
        <w:rPr>
          <w:i/>
        </w:rPr>
        <w:t xml:space="preserve"> 67</w:t>
      </w:r>
      <w:r w:rsidRPr="0001200D">
        <w:t xml:space="preserve">(6), 1063. </w:t>
      </w:r>
    </w:p>
    <w:p w14:paraId="48FA368A" w14:textId="77777777" w:rsidR="003E5B95" w:rsidRPr="0001200D" w:rsidRDefault="003E5B95" w:rsidP="003E5B95">
      <w:pPr>
        <w:pStyle w:val="EndNoteBibliography"/>
        <w:spacing w:after="240"/>
        <w:ind w:left="720" w:hanging="720"/>
      </w:pPr>
      <w:r w:rsidRPr="0001200D">
        <w:t xml:space="preserve">Seppälä, P., Mauno, S., Feldt, T., Hakanen, J., Kinnunen, U., Tolvanen, A., &amp; Schaufeli, W. (2008). The Construct Validity of the Utrecht Work Engagement Scale: Multisample and Longitudinal Evidence. </w:t>
      </w:r>
      <w:r w:rsidRPr="0001200D">
        <w:rPr>
          <w:i/>
        </w:rPr>
        <w:t>Journal of Happiness studies</w:t>
      </w:r>
      <w:r w:rsidRPr="0001200D">
        <w:t>,</w:t>
      </w:r>
      <w:r w:rsidRPr="0001200D">
        <w:rPr>
          <w:i/>
        </w:rPr>
        <w:t xml:space="preserve"> 10</w:t>
      </w:r>
      <w:r w:rsidRPr="0001200D">
        <w:t xml:space="preserve">(4), 459. </w:t>
      </w:r>
      <w:r w:rsidRPr="003E5B95">
        <w:t>https://doi.org/10.1007/s10902-008-9100-y</w:t>
      </w:r>
      <w:r w:rsidRPr="0001200D">
        <w:t xml:space="preserve"> </w:t>
      </w:r>
    </w:p>
    <w:p w14:paraId="420B1F14" w14:textId="63E32800" w:rsidR="003E5B95" w:rsidRPr="0001200D" w:rsidRDefault="003E5B95" w:rsidP="003E5B95">
      <w:pPr>
        <w:pStyle w:val="EndNoteBibliography"/>
        <w:spacing w:after="240"/>
        <w:ind w:left="720" w:hanging="720"/>
      </w:pPr>
      <w:r w:rsidRPr="0001200D">
        <w:t xml:space="preserve">Simmons, B. L., &amp; Nelson, D. L. (2007). Eustress at work: Extending the holistic stress model. In D. L. Nelson &amp; C. L. Cooper (Eds.), </w:t>
      </w:r>
      <w:r w:rsidRPr="0001200D">
        <w:rPr>
          <w:i/>
        </w:rPr>
        <w:t>Positive organizational behavior</w:t>
      </w:r>
      <w:r w:rsidRPr="0001200D">
        <w:t xml:space="preserve"> (pp. 40-53). London, England: Sage. </w:t>
      </w:r>
    </w:p>
    <w:p w14:paraId="3FB41F07" w14:textId="77777777" w:rsidR="003E5B95" w:rsidRPr="0001200D" w:rsidRDefault="003E5B95" w:rsidP="003E5B95">
      <w:pPr>
        <w:pStyle w:val="EndNoteBibliography"/>
        <w:spacing w:after="240"/>
        <w:ind w:left="720" w:hanging="720"/>
      </w:pPr>
      <w:r w:rsidRPr="0001200D">
        <w:t xml:space="preserve">Thatcher, J. B., Stepina, L. P., &amp; Boyle, R. J. (2002). Turnover of information technology workers: Examining empirically the influence of attitudes, job characteristics, and external markets. </w:t>
      </w:r>
      <w:r w:rsidRPr="0001200D">
        <w:rPr>
          <w:i/>
        </w:rPr>
        <w:t>Journal of Management Information Systems</w:t>
      </w:r>
      <w:r w:rsidRPr="0001200D">
        <w:t>,</w:t>
      </w:r>
      <w:r w:rsidRPr="0001200D">
        <w:rPr>
          <w:i/>
        </w:rPr>
        <w:t xml:space="preserve"> 19</w:t>
      </w:r>
      <w:r w:rsidRPr="0001200D">
        <w:t xml:space="preserve">(3), 231-261. </w:t>
      </w:r>
    </w:p>
    <w:p w14:paraId="7C17246F" w14:textId="77777777" w:rsidR="003E5B95" w:rsidRPr="0001200D" w:rsidRDefault="003E5B95" w:rsidP="003E5B95">
      <w:pPr>
        <w:pStyle w:val="EndNoteBibliography"/>
        <w:spacing w:after="240"/>
        <w:ind w:left="720" w:hanging="720"/>
      </w:pPr>
      <w:r w:rsidRPr="0001200D">
        <w:t xml:space="preserve">Venkatesh, V., Speier, C., &amp; Morris, M. G. (2002). User acceptance enablers in individual decision making about technology: Toward an integrated model. </w:t>
      </w:r>
      <w:r w:rsidRPr="0001200D">
        <w:rPr>
          <w:i/>
        </w:rPr>
        <w:t>Decision Sciences</w:t>
      </w:r>
      <w:r w:rsidRPr="0001200D">
        <w:t>,</w:t>
      </w:r>
      <w:r w:rsidRPr="0001200D">
        <w:rPr>
          <w:i/>
        </w:rPr>
        <w:t xml:space="preserve"> 33</w:t>
      </w:r>
      <w:r w:rsidRPr="0001200D">
        <w:t xml:space="preserve">(2), 297-316. </w:t>
      </w:r>
    </w:p>
    <w:p w14:paraId="1EDDAED0" w14:textId="77777777" w:rsidR="003E5B95" w:rsidRPr="0001200D" w:rsidRDefault="003E5B95" w:rsidP="003E5B95">
      <w:pPr>
        <w:pStyle w:val="EndNoteBibliography"/>
        <w:spacing w:after="240"/>
        <w:ind w:left="720" w:hanging="720"/>
      </w:pPr>
      <w:r w:rsidRPr="0001200D">
        <w:t xml:space="preserve">Warkentin, M., &amp; Willison, R. (2009). Behavioral and policy issues in information systems security: the insider threat. </w:t>
      </w:r>
      <w:r w:rsidRPr="0001200D">
        <w:rPr>
          <w:i/>
        </w:rPr>
        <w:t>European Journal of Information Systems</w:t>
      </w:r>
      <w:r w:rsidRPr="0001200D">
        <w:t>,</w:t>
      </w:r>
      <w:r w:rsidRPr="0001200D">
        <w:rPr>
          <w:i/>
        </w:rPr>
        <w:t xml:space="preserve"> 18</w:t>
      </w:r>
      <w:r w:rsidRPr="0001200D">
        <w:t xml:space="preserve">(2), 101-105. </w:t>
      </w:r>
    </w:p>
    <w:p w14:paraId="39881809" w14:textId="77777777" w:rsidR="003E5B95" w:rsidRPr="0001200D" w:rsidRDefault="003E5B95" w:rsidP="003E5B95">
      <w:pPr>
        <w:pStyle w:val="EndNoteBibliography"/>
        <w:spacing w:after="240"/>
        <w:ind w:left="720" w:hanging="720"/>
      </w:pPr>
      <w:r w:rsidRPr="0001200D">
        <w:t xml:space="preserve">Welch, M. (2011). The evolution of the employee engagement concept: communication implications. </w:t>
      </w:r>
      <w:r w:rsidRPr="0001200D">
        <w:rPr>
          <w:i/>
        </w:rPr>
        <w:t>Corporate Communications: An International Journal</w:t>
      </w:r>
      <w:r w:rsidRPr="0001200D">
        <w:t>,</w:t>
      </w:r>
      <w:r w:rsidRPr="0001200D">
        <w:rPr>
          <w:i/>
        </w:rPr>
        <w:t xml:space="preserve"> 16</w:t>
      </w:r>
      <w:r w:rsidRPr="0001200D">
        <w:t xml:space="preserve">(4), 328-346. </w:t>
      </w:r>
    </w:p>
    <w:p w14:paraId="350EED22" w14:textId="77777777" w:rsidR="003E5B95" w:rsidRPr="0001200D" w:rsidRDefault="003E5B95" w:rsidP="003E5B95">
      <w:pPr>
        <w:pStyle w:val="EndNoteBibliography"/>
        <w:spacing w:after="240"/>
        <w:ind w:left="720" w:hanging="720"/>
      </w:pPr>
      <w:r w:rsidRPr="0001200D">
        <w:lastRenderedPageBreak/>
        <w:t xml:space="preserve">Wolff, J. (2019, 12/23/2019). </w:t>
      </w:r>
      <w:r w:rsidRPr="0001200D">
        <w:rPr>
          <w:i/>
        </w:rPr>
        <w:t>Cybersecurity Experts Are Leaving the Federal Government. That's a Problem</w:t>
      </w:r>
      <w:r w:rsidRPr="0001200D">
        <w:t xml:space="preserve">. Retrieved 5 March, 2020 from </w:t>
      </w:r>
      <w:r w:rsidRPr="003E5B95">
        <w:t>https://link.gale.com/apps/doc/A609461957/GIC?u=tusc49521&amp;sid=GIC&amp;xid=fb0172e3</w:t>
      </w:r>
    </w:p>
    <w:p w14:paraId="18ABFF5B" w14:textId="77777777" w:rsidR="003E5B95" w:rsidRPr="0001200D" w:rsidRDefault="003E5B95" w:rsidP="003E5B95">
      <w:pPr>
        <w:pStyle w:val="EndNoteBibliography"/>
        <w:spacing w:after="240"/>
        <w:ind w:left="720" w:hanging="720"/>
      </w:pPr>
      <w:r w:rsidRPr="0001200D">
        <w:t xml:space="preserve">Xanthopoulou, D., Bakker, A. B., Demerouti, E., &amp; Schaufeli, W. B. (2007). The role of personal resources in the job demands-resources model. </w:t>
      </w:r>
      <w:r w:rsidRPr="0001200D">
        <w:rPr>
          <w:i/>
        </w:rPr>
        <w:t>International journal of stress management</w:t>
      </w:r>
      <w:r w:rsidRPr="0001200D">
        <w:t>,</w:t>
      </w:r>
      <w:r w:rsidRPr="0001200D">
        <w:rPr>
          <w:i/>
        </w:rPr>
        <w:t xml:space="preserve"> 14</w:t>
      </w:r>
      <w:r w:rsidRPr="0001200D">
        <w:t xml:space="preserve">(2), 121. </w:t>
      </w:r>
    </w:p>
    <w:p w14:paraId="196FFCE9" w14:textId="77777777" w:rsidR="003E5B95" w:rsidRPr="0001200D" w:rsidRDefault="003E5B95" w:rsidP="003E5B95">
      <w:pPr>
        <w:pStyle w:val="EndNoteBibliography"/>
        <w:spacing w:after="240"/>
        <w:ind w:left="720" w:hanging="720"/>
      </w:pPr>
      <w:r w:rsidRPr="0001200D">
        <w:t xml:space="preserve">Xanthopoulou, D., Bakker, A. B., Demerouti, E., &amp; Schaufeli, W. B. (2009). Reciprocal relationships between job resources, personal resources, and work engagement. </w:t>
      </w:r>
      <w:r w:rsidRPr="0001200D">
        <w:rPr>
          <w:i/>
        </w:rPr>
        <w:t>Journal of Vocational Behavior</w:t>
      </w:r>
      <w:r w:rsidRPr="0001200D">
        <w:t>,</w:t>
      </w:r>
      <w:r w:rsidRPr="0001200D">
        <w:rPr>
          <w:i/>
        </w:rPr>
        <w:t xml:space="preserve"> 74</w:t>
      </w:r>
      <w:r w:rsidRPr="0001200D">
        <w:t xml:space="preserve">(3), 235-244. </w:t>
      </w:r>
    </w:p>
    <w:p w14:paraId="7846289E" w14:textId="77777777" w:rsidR="003E5B95" w:rsidRPr="0001200D" w:rsidRDefault="003E5B95" w:rsidP="003E5B95">
      <w:pPr>
        <w:pStyle w:val="EndNoteBibliography"/>
        <w:ind w:left="720" w:hanging="720"/>
      </w:pPr>
      <w:r w:rsidRPr="0001200D">
        <w:t xml:space="preserve">Zhang, Y., LePine, J. A., Buckman, B. R., &amp; Wei, F. (2014). It's not fair… or is it? The role of justice and leadership in explaining work stressor–job performance relationships. </w:t>
      </w:r>
      <w:r w:rsidRPr="0001200D">
        <w:rPr>
          <w:i/>
        </w:rPr>
        <w:t>Academy of Management Journal</w:t>
      </w:r>
      <w:r w:rsidRPr="0001200D">
        <w:t>,</w:t>
      </w:r>
      <w:r w:rsidRPr="0001200D">
        <w:rPr>
          <w:i/>
        </w:rPr>
        <w:t xml:space="preserve"> 57</w:t>
      </w:r>
      <w:r w:rsidRPr="0001200D">
        <w:t xml:space="preserve">(3), 675-697. </w:t>
      </w:r>
    </w:p>
    <w:p w14:paraId="36913B85" w14:textId="77777777" w:rsidR="003E5B95" w:rsidRDefault="003E5B95" w:rsidP="003E5B95">
      <w:pPr>
        <w:spacing w:after="160"/>
        <w:ind w:firstLine="0"/>
        <w:contextualSpacing w:val="0"/>
        <w:rPr>
          <w:rFonts w:cs="Times New Roman"/>
          <w:kern w:val="0"/>
          <w:szCs w:val="24"/>
          <w:lang w:eastAsia="en-US"/>
        </w:rPr>
      </w:pPr>
    </w:p>
    <w:p w14:paraId="7CA53C8C" w14:textId="77777777" w:rsidR="003E5B95" w:rsidRPr="00DA5AC5" w:rsidRDefault="003E5B95" w:rsidP="003E5B95">
      <w:pPr>
        <w:spacing w:after="160"/>
        <w:ind w:firstLine="0"/>
        <w:contextualSpacing w:val="0"/>
        <w:rPr>
          <w:rFonts w:cs="Times New Roman"/>
          <w:kern w:val="0"/>
          <w:szCs w:val="24"/>
          <w:lang w:eastAsia="en-US"/>
        </w:rPr>
        <w:sectPr w:rsidR="003E5B95" w:rsidRPr="00DA5AC5" w:rsidSect="00DF56B1">
          <w:footerReference w:type="default" r:id="rId21"/>
          <w:footerReference w:type="first" r:id="rId22"/>
          <w:pgSz w:w="12240" w:h="15840"/>
          <w:pgMar w:top="1440" w:right="1440" w:bottom="1440" w:left="1440" w:header="720" w:footer="720" w:gutter="0"/>
          <w:cols w:space="720"/>
          <w:titlePg/>
          <w:docGrid w:linePitch="360"/>
        </w:sectPr>
      </w:pPr>
    </w:p>
    <w:p w14:paraId="6A10C1E4" w14:textId="77777777" w:rsidR="003E5B95" w:rsidRPr="00DA5AC5" w:rsidRDefault="003E5B95" w:rsidP="003E5B95">
      <w:pPr>
        <w:pStyle w:val="Heading2"/>
      </w:pPr>
      <w:bookmarkStart w:id="370" w:name="_Toc74045287"/>
      <w:bookmarkStart w:id="371" w:name="_Toc74087573"/>
      <w:bookmarkStart w:id="372" w:name="_Toc74258689"/>
      <w:r w:rsidRPr="00DA5AC5">
        <w:lastRenderedPageBreak/>
        <w:t xml:space="preserve">Appendix </w:t>
      </w:r>
      <w:r>
        <w:t>L.1 Definitions of Constructs in the Research Model</w:t>
      </w:r>
      <w:bookmarkEnd w:id="370"/>
      <w:bookmarkEnd w:id="371"/>
      <w:bookmarkEnd w:id="372"/>
    </w:p>
    <w:p w14:paraId="1FEB2B8F" w14:textId="77777777" w:rsidR="003E5B95" w:rsidRPr="00B54F4D" w:rsidRDefault="003E5B95" w:rsidP="003E5B95">
      <w:pPr>
        <w:pStyle w:val="Caption"/>
        <w:keepNext/>
        <w:spacing w:line="480" w:lineRule="auto"/>
        <w:rPr>
          <w:sz w:val="24"/>
          <w:szCs w:val="24"/>
        </w:rPr>
      </w:pPr>
      <w:bookmarkStart w:id="373" w:name="_Toc73955274"/>
      <w:bookmarkStart w:id="374" w:name="_Toc74074435"/>
      <w:r w:rsidRPr="00B54F4D">
        <w:rPr>
          <w:sz w:val="24"/>
          <w:szCs w:val="24"/>
        </w:rPr>
        <w:t xml:space="preserve">Table </w:t>
      </w:r>
      <w:bookmarkStart w:id="375" w:name="_Toc73917994"/>
      <w:r>
        <w:rPr>
          <w:sz w:val="24"/>
          <w:szCs w:val="24"/>
        </w:rPr>
        <w:t>L1</w:t>
      </w:r>
    </w:p>
    <w:p w14:paraId="1BF2DDB9" w14:textId="6E9D9A1F" w:rsidR="003E5B95" w:rsidRPr="00B54F4D" w:rsidRDefault="003E5B95" w:rsidP="003E5B95">
      <w:pPr>
        <w:pStyle w:val="Caption"/>
        <w:keepNext/>
        <w:spacing w:line="480" w:lineRule="auto"/>
        <w:rPr>
          <w:b w:val="0"/>
          <w:bCs/>
          <w:i/>
          <w:iCs w:val="0"/>
          <w:sz w:val="24"/>
          <w:szCs w:val="24"/>
        </w:rPr>
      </w:pPr>
      <w:r w:rsidRPr="00B54F4D">
        <w:rPr>
          <w:b w:val="0"/>
          <w:bCs/>
          <w:i/>
          <w:iCs w:val="0"/>
          <w:sz w:val="24"/>
          <w:szCs w:val="24"/>
        </w:rPr>
        <w:t>Definition of Constructs</w:t>
      </w:r>
      <w:bookmarkEnd w:id="373"/>
      <w:bookmarkEnd w:id="374"/>
      <w:bookmarkEnd w:id="375"/>
    </w:p>
    <w:tbl>
      <w:tblPr>
        <w:tblStyle w:val="PlainTable4"/>
        <w:tblW w:w="0" w:type="auto"/>
        <w:tblLook w:val="04A0" w:firstRow="1" w:lastRow="0" w:firstColumn="1" w:lastColumn="0" w:noHBand="0" w:noVBand="1"/>
      </w:tblPr>
      <w:tblGrid>
        <w:gridCol w:w="1936"/>
        <w:gridCol w:w="4989"/>
        <w:gridCol w:w="2425"/>
      </w:tblGrid>
      <w:tr w:rsidR="003E5B95" w:rsidRPr="00DA5AC5" w14:paraId="38B833F7" w14:textId="77777777" w:rsidTr="00BD74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top w:val="single" w:sz="4" w:space="0" w:color="auto"/>
              <w:bottom w:val="single" w:sz="4" w:space="0" w:color="auto"/>
              <w:right w:val="single" w:sz="4" w:space="0" w:color="auto"/>
            </w:tcBorders>
          </w:tcPr>
          <w:p w14:paraId="4F30D4B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Construct</w:t>
            </w:r>
          </w:p>
        </w:tc>
        <w:tc>
          <w:tcPr>
            <w:tcW w:w="4989" w:type="dxa"/>
            <w:tcBorders>
              <w:top w:val="single" w:sz="4" w:space="0" w:color="auto"/>
              <w:left w:val="single" w:sz="4" w:space="0" w:color="auto"/>
              <w:bottom w:val="single" w:sz="4" w:space="0" w:color="auto"/>
            </w:tcBorders>
          </w:tcPr>
          <w:p w14:paraId="1F5CD6B5"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Definition</w:t>
            </w:r>
          </w:p>
        </w:tc>
        <w:tc>
          <w:tcPr>
            <w:tcW w:w="2425" w:type="dxa"/>
            <w:tcBorders>
              <w:top w:val="single" w:sz="4" w:space="0" w:color="auto"/>
              <w:bottom w:val="single" w:sz="4" w:space="0" w:color="auto"/>
            </w:tcBorders>
          </w:tcPr>
          <w:p w14:paraId="47A5A503"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Source</w:t>
            </w:r>
          </w:p>
        </w:tc>
      </w:tr>
      <w:tr w:rsidR="003E5B95" w:rsidRPr="00DA5AC5" w14:paraId="22D9BC01" w14:textId="77777777" w:rsidTr="00BD74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top w:val="single" w:sz="4" w:space="0" w:color="auto"/>
              <w:right w:val="single" w:sz="4" w:space="0" w:color="auto"/>
            </w:tcBorders>
          </w:tcPr>
          <w:p w14:paraId="0DAE5656"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Challenge Demands</w:t>
            </w:r>
          </w:p>
        </w:tc>
        <w:tc>
          <w:tcPr>
            <w:tcW w:w="4989" w:type="dxa"/>
            <w:tcBorders>
              <w:top w:val="single" w:sz="4" w:space="0" w:color="auto"/>
              <w:left w:val="single" w:sz="4" w:space="0" w:color="auto"/>
            </w:tcBorders>
          </w:tcPr>
          <w:p w14:paraId="7432DF4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Challenge demands are defined as the work-related demands or circumstances that, although potentially stressful, are appraised as promoting the job accomplishments and potential gains (personal development) for the individuals.</w:t>
            </w:r>
          </w:p>
        </w:tc>
        <w:tc>
          <w:tcPr>
            <w:tcW w:w="2425" w:type="dxa"/>
            <w:tcBorders>
              <w:top w:val="single" w:sz="4" w:space="0" w:color="auto"/>
            </w:tcBorders>
          </w:tcPr>
          <w:p w14:paraId="5EACB64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(Cavanaugh et al., 2000; Podsakoff et al., 2007)</w:t>
            </w:r>
          </w:p>
        </w:tc>
      </w:tr>
      <w:tr w:rsidR="003E5B95" w:rsidRPr="00DA5AC5" w14:paraId="4645FB5D" w14:textId="77777777" w:rsidTr="00BD7489">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160E2FA8"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Hindrance Demands</w:t>
            </w:r>
          </w:p>
        </w:tc>
        <w:tc>
          <w:tcPr>
            <w:tcW w:w="4989" w:type="dxa"/>
            <w:tcBorders>
              <w:left w:val="single" w:sz="4" w:space="0" w:color="auto"/>
            </w:tcBorders>
          </w:tcPr>
          <w:p w14:paraId="394709D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Hindrance demands are defined as the work-related demands or circumstances which are apprised as barriers or obstacles to the accomplishments of job tasks and the personal development of an individual.</w:t>
            </w:r>
          </w:p>
        </w:tc>
        <w:tc>
          <w:tcPr>
            <w:tcW w:w="2425" w:type="dxa"/>
          </w:tcPr>
          <w:p w14:paraId="75512D5B"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(Cavanaugh et al., 2000; Podsakoff et al., 2007)</w:t>
            </w:r>
          </w:p>
        </w:tc>
      </w:tr>
      <w:tr w:rsidR="003E5B95" w:rsidRPr="00DA5AC5" w14:paraId="4D986E2C" w14:textId="77777777" w:rsidTr="00BD74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05C8E9A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Resources</w:t>
            </w:r>
          </w:p>
        </w:tc>
        <w:tc>
          <w:tcPr>
            <w:tcW w:w="4989" w:type="dxa"/>
            <w:tcBorders>
              <w:left w:val="single" w:sz="4" w:space="0" w:color="auto"/>
            </w:tcBorders>
          </w:tcPr>
          <w:p w14:paraId="07B7FDAA" w14:textId="5FE6FDE2"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Job resources are those functional aspects of the jobs that help to achieve work goals, stimulate personal growth</w:t>
            </w:r>
            <w:r w:rsidR="00700C32">
              <w:rPr>
                <w:rFonts w:cs="Times New Roman"/>
                <w:kern w:val="0"/>
                <w:szCs w:val="24"/>
                <w:lang w:eastAsia="en-US"/>
              </w:rPr>
              <w:t xml:space="preserve"> </w:t>
            </w:r>
            <w:r w:rsidRPr="00EE2B4F">
              <w:rPr>
                <w:rFonts w:cs="Times New Roman"/>
                <w:kern w:val="0"/>
                <w:szCs w:val="24"/>
                <w:lang w:eastAsia="en-US"/>
              </w:rPr>
              <w:t xml:space="preserve">and development. </w:t>
            </w:r>
          </w:p>
        </w:tc>
        <w:tc>
          <w:tcPr>
            <w:tcW w:w="2425" w:type="dxa"/>
          </w:tcPr>
          <w:p w14:paraId="388B285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(Crawford et al., 2010)</w:t>
            </w:r>
          </w:p>
        </w:tc>
      </w:tr>
      <w:tr w:rsidR="003E5B95" w:rsidRPr="00DA5AC5" w14:paraId="23EC99A7" w14:textId="77777777" w:rsidTr="00BD7489">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6BC7678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Personal Resources</w:t>
            </w:r>
          </w:p>
        </w:tc>
        <w:tc>
          <w:tcPr>
            <w:tcW w:w="4989" w:type="dxa"/>
            <w:tcBorders>
              <w:left w:val="single" w:sz="4" w:space="0" w:color="auto"/>
            </w:tcBorders>
          </w:tcPr>
          <w:p w14:paraId="5BDB5BD7" w14:textId="3BA6B89E"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Personal resources are the aspect of self that is linked to resiliency and refers to the individual’s ability to control and impact upon their environment successfully especially</w:t>
            </w:r>
            <w:r w:rsidR="00700C32">
              <w:rPr>
                <w:rFonts w:cs="Times New Roman"/>
                <w:kern w:val="0"/>
                <w:szCs w:val="24"/>
                <w:lang w:eastAsia="en-US"/>
              </w:rPr>
              <w:t>,</w:t>
            </w:r>
            <w:r w:rsidRPr="00EE2B4F">
              <w:rPr>
                <w:rFonts w:cs="Times New Roman"/>
                <w:kern w:val="0"/>
                <w:szCs w:val="24"/>
                <w:lang w:eastAsia="en-US"/>
              </w:rPr>
              <w:t xml:space="preserve"> during challenging circumstances. </w:t>
            </w:r>
          </w:p>
        </w:tc>
        <w:tc>
          <w:tcPr>
            <w:tcW w:w="2425" w:type="dxa"/>
          </w:tcPr>
          <w:p w14:paraId="095F312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(Hobfoll et al., 2003)</w:t>
            </w:r>
          </w:p>
        </w:tc>
      </w:tr>
      <w:tr w:rsidR="003E5B95" w:rsidRPr="00DA5AC5" w14:paraId="301E0164" w14:textId="77777777" w:rsidTr="00BD74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46CF6D4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Burnout</w:t>
            </w:r>
          </w:p>
        </w:tc>
        <w:tc>
          <w:tcPr>
            <w:tcW w:w="4989" w:type="dxa"/>
            <w:tcBorders>
              <w:left w:val="single" w:sz="4" w:space="0" w:color="auto"/>
            </w:tcBorders>
          </w:tcPr>
          <w:p w14:paraId="1E9F9C20" w14:textId="6B16EE82"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eastAsia="Times New Roman" w:cs="Times New Roman"/>
                <w:color w:val="000000"/>
                <w:kern w:val="0"/>
                <w:szCs w:val="24"/>
                <w:lang w:eastAsia="en-US"/>
              </w:rPr>
              <w:t>A state of physical, emotional, and mental exhaustion caused by long term involvement in the demands presented by one’s job</w:t>
            </w:r>
            <w:r w:rsidR="00700C32">
              <w:rPr>
                <w:rFonts w:eastAsia="Times New Roman" w:cs="Times New Roman"/>
                <w:color w:val="000000"/>
                <w:kern w:val="0"/>
                <w:szCs w:val="24"/>
                <w:lang w:eastAsia="en-US"/>
              </w:rPr>
              <w:t>.</w:t>
            </w:r>
          </w:p>
        </w:tc>
        <w:tc>
          <w:tcPr>
            <w:tcW w:w="2425" w:type="dxa"/>
          </w:tcPr>
          <w:p w14:paraId="6C3549F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(Lo, 2015)</w:t>
            </w:r>
          </w:p>
          <w:p w14:paraId="5363A0D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258E24CB" w14:textId="77777777" w:rsidTr="00BD7489">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0A28366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Work Engagement</w:t>
            </w:r>
          </w:p>
        </w:tc>
        <w:tc>
          <w:tcPr>
            <w:tcW w:w="4989" w:type="dxa"/>
            <w:tcBorders>
              <w:left w:val="single" w:sz="4" w:space="0" w:color="auto"/>
            </w:tcBorders>
          </w:tcPr>
          <w:p w14:paraId="43BB64BB" w14:textId="0605665C"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Work engagement is defined as a positive, fulfilling</w:t>
            </w:r>
            <w:r w:rsidR="00700C32">
              <w:rPr>
                <w:rFonts w:cs="Times New Roman"/>
                <w:kern w:val="0"/>
                <w:szCs w:val="24"/>
                <w:lang w:eastAsia="en-US"/>
              </w:rPr>
              <w:t>,</w:t>
            </w:r>
            <w:r w:rsidRPr="00EE2B4F">
              <w:rPr>
                <w:rFonts w:cs="Times New Roman"/>
                <w:kern w:val="0"/>
                <w:szCs w:val="24"/>
                <w:lang w:eastAsia="en-US"/>
              </w:rPr>
              <w:t xml:space="preserve"> work-related state of mind that is characterized by dedication, vigor, and absorption.</w:t>
            </w:r>
          </w:p>
          <w:p w14:paraId="071441F0"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 xml:space="preserve">Dedication refers to a sense of significance, enthusiasm, pride, inspiration, and challenge. Vigor refers to a high level of mental resilience and energy while working, the wiliness to invest effort in one’s work, and persistence in the face of difficulty. </w:t>
            </w:r>
          </w:p>
          <w:p w14:paraId="2F324C29" w14:textId="78AEC096"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Absorption refers to being fully concentrated and deeply engrossed in one’s work</w:t>
            </w:r>
            <w:r w:rsidR="00700C32">
              <w:rPr>
                <w:rFonts w:cs="Times New Roman"/>
                <w:kern w:val="0"/>
                <w:szCs w:val="24"/>
                <w:lang w:eastAsia="en-US"/>
              </w:rPr>
              <w:t xml:space="preserve"> </w:t>
            </w:r>
            <w:r w:rsidRPr="00EE2B4F">
              <w:rPr>
                <w:rFonts w:cs="Times New Roman"/>
                <w:kern w:val="0"/>
                <w:szCs w:val="24"/>
                <w:lang w:eastAsia="en-US"/>
              </w:rPr>
              <w:t xml:space="preserve">and </w:t>
            </w:r>
            <w:r w:rsidR="00700C32">
              <w:rPr>
                <w:rFonts w:cs="Times New Roman"/>
                <w:kern w:val="0"/>
                <w:szCs w:val="24"/>
                <w:lang w:eastAsia="en-US"/>
              </w:rPr>
              <w:t>i</w:t>
            </w:r>
            <w:r w:rsidRPr="00EE2B4F">
              <w:rPr>
                <w:rFonts w:cs="Times New Roman"/>
                <w:kern w:val="0"/>
                <w:szCs w:val="24"/>
                <w:lang w:eastAsia="en-US"/>
              </w:rPr>
              <w:t xml:space="preserve">s characterized by time passing, difficulty detaching oneself from work. </w:t>
            </w:r>
          </w:p>
        </w:tc>
        <w:tc>
          <w:tcPr>
            <w:tcW w:w="2425" w:type="dxa"/>
          </w:tcPr>
          <w:p w14:paraId="37A08EA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(Schaufeli et al., 2002; Seppälä et al., 2008)</w:t>
            </w:r>
          </w:p>
        </w:tc>
      </w:tr>
      <w:tr w:rsidR="003E5B95" w:rsidRPr="00875791" w14:paraId="2E25311E" w14:textId="77777777" w:rsidTr="00BD74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59263E16"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Affective Commitment to Cybersecurity Profession</w:t>
            </w:r>
          </w:p>
        </w:tc>
        <w:tc>
          <w:tcPr>
            <w:tcW w:w="4989" w:type="dxa"/>
            <w:tcBorders>
              <w:left w:val="single" w:sz="4" w:space="0" w:color="auto"/>
            </w:tcBorders>
          </w:tcPr>
          <w:p w14:paraId="2B28B0A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 xml:space="preserve">An individual’s positive emotional attachment to their profession. </w:t>
            </w:r>
          </w:p>
        </w:tc>
        <w:tc>
          <w:tcPr>
            <w:tcW w:w="2425" w:type="dxa"/>
          </w:tcPr>
          <w:p w14:paraId="530CD3C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(Armstrong et al., 2015)</w:t>
            </w:r>
          </w:p>
        </w:tc>
      </w:tr>
      <w:tr w:rsidR="003E5B95" w:rsidRPr="00875791" w14:paraId="3541E9EF" w14:textId="77777777" w:rsidTr="00BD7489">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63DA0BB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Turnover intentions</w:t>
            </w:r>
          </w:p>
        </w:tc>
        <w:tc>
          <w:tcPr>
            <w:tcW w:w="4989" w:type="dxa"/>
            <w:tcBorders>
              <w:left w:val="single" w:sz="4" w:space="0" w:color="auto"/>
            </w:tcBorders>
          </w:tcPr>
          <w:p w14:paraId="3F012235" w14:textId="3839EEA0"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szCs w:val="24"/>
              </w:rPr>
              <w:t>A cybersecurity professional’s deliberate and conscious willingness to change one’s place of employment</w:t>
            </w:r>
            <w:r w:rsidR="00700C32">
              <w:rPr>
                <w:rFonts w:cs="Times New Roman"/>
                <w:szCs w:val="24"/>
              </w:rPr>
              <w:t>.</w:t>
            </w:r>
          </w:p>
        </w:tc>
        <w:tc>
          <w:tcPr>
            <w:tcW w:w="2425" w:type="dxa"/>
          </w:tcPr>
          <w:p w14:paraId="298A2F3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(Lo, 2015)</w:t>
            </w:r>
          </w:p>
        </w:tc>
      </w:tr>
      <w:tr w:rsidR="003E5B95" w:rsidRPr="00875791" w14:paraId="41BB3498" w14:textId="77777777" w:rsidTr="00BD74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36" w:type="dxa"/>
            <w:tcBorders>
              <w:right w:val="single" w:sz="4" w:space="0" w:color="auto"/>
            </w:tcBorders>
          </w:tcPr>
          <w:p w14:paraId="3CB83BF5" w14:textId="77777777" w:rsidR="003E5B95" w:rsidRPr="00EE2B4F" w:rsidDel="003931F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Challenge Stress</w:t>
            </w:r>
          </w:p>
        </w:tc>
        <w:tc>
          <w:tcPr>
            <w:tcW w:w="4989" w:type="dxa"/>
            <w:tcBorders>
              <w:left w:val="single" w:sz="4" w:space="0" w:color="auto"/>
            </w:tcBorders>
          </w:tcPr>
          <w:p w14:paraId="02E10072" w14:textId="77777777" w:rsidR="003E5B95" w:rsidRPr="00EE2B4F" w:rsidDel="00F4790E"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Work stress which is associated with challenging job demands and likened to eustress.</w:t>
            </w:r>
          </w:p>
        </w:tc>
        <w:tc>
          <w:tcPr>
            <w:tcW w:w="2425" w:type="dxa"/>
          </w:tcPr>
          <w:p w14:paraId="0CDAD21C"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(Cavanaugh et al., 2000)</w:t>
            </w:r>
          </w:p>
        </w:tc>
      </w:tr>
      <w:tr w:rsidR="003E5B95" w:rsidRPr="00875791" w14:paraId="2249C218" w14:textId="77777777" w:rsidTr="00BD7489">
        <w:tc>
          <w:tcPr>
            <w:cnfStyle w:val="001000000000" w:firstRow="0" w:lastRow="0" w:firstColumn="1" w:lastColumn="0" w:oddVBand="0" w:evenVBand="0" w:oddHBand="0" w:evenHBand="0" w:firstRowFirstColumn="0" w:firstRowLastColumn="0" w:lastRowFirstColumn="0" w:lastRowLastColumn="0"/>
            <w:tcW w:w="1936" w:type="dxa"/>
            <w:tcBorders>
              <w:bottom w:val="single" w:sz="4" w:space="0" w:color="auto"/>
              <w:right w:val="single" w:sz="4" w:space="0" w:color="auto"/>
            </w:tcBorders>
          </w:tcPr>
          <w:p w14:paraId="45DD936F" w14:textId="77777777" w:rsidR="003E5B95" w:rsidRPr="00EE2B4F" w:rsidRDefault="003E5B95" w:rsidP="003E5B95">
            <w:pPr>
              <w:spacing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Hindrance Stress</w:t>
            </w:r>
          </w:p>
        </w:tc>
        <w:tc>
          <w:tcPr>
            <w:tcW w:w="4989" w:type="dxa"/>
            <w:tcBorders>
              <w:left w:val="single" w:sz="4" w:space="0" w:color="auto"/>
              <w:bottom w:val="single" w:sz="4" w:space="0" w:color="auto"/>
            </w:tcBorders>
          </w:tcPr>
          <w:p w14:paraId="606DED47" w14:textId="4B0A7428" w:rsidR="003E5B95" w:rsidRPr="00EE2B4F" w:rsidDel="00F4790E" w:rsidRDefault="003E5B95" w:rsidP="003E5B95">
            <w:pPr>
              <w:spacing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 xml:space="preserve">Work stress associated with the hindrance job </w:t>
            </w:r>
            <w:r w:rsidR="00700C32" w:rsidRPr="00EE2B4F">
              <w:rPr>
                <w:rFonts w:cs="Times New Roman"/>
                <w:kern w:val="0"/>
                <w:szCs w:val="24"/>
                <w:lang w:eastAsia="en-US"/>
              </w:rPr>
              <w:t>demands</w:t>
            </w:r>
            <w:r w:rsidR="00700C32">
              <w:rPr>
                <w:rFonts w:cs="Times New Roman"/>
                <w:kern w:val="0"/>
                <w:szCs w:val="24"/>
                <w:lang w:eastAsia="en-US"/>
              </w:rPr>
              <w:t xml:space="preserve"> </w:t>
            </w:r>
            <w:r w:rsidR="00700C32" w:rsidRPr="00EE2B4F">
              <w:rPr>
                <w:rFonts w:cs="Times New Roman"/>
                <w:kern w:val="0"/>
                <w:szCs w:val="24"/>
                <w:lang w:eastAsia="en-US"/>
              </w:rPr>
              <w:t>and</w:t>
            </w:r>
            <w:r w:rsidRPr="00EE2B4F">
              <w:rPr>
                <w:rFonts w:cs="Times New Roman"/>
                <w:kern w:val="0"/>
                <w:szCs w:val="24"/>
                <w:lang w:eastAsia="en-US"/>
              </w:rPr>
              <w:t xml:space="preserve"> likened to distress</w:t>
            </w:r>
            <w:r w:rsidR="00700C32">
              <w:rPr>
                <w:rFonts w:cs="Times New Roman"/>
                <w:kern w:val="0"/>
                <w:szCs w:val="24"/>
                <w:lang w:eastAsia="en-US"/>
              </w:rPr>
              <w:t>.</w:t>
            </w:r>
          </w:p>
        </w:tc>
        <w:tc>
          <w:tcPr>
            <w:tcW w:w="2425" w:type="dxa"/>
            <w:tcBorders>
              <w:bottom w:val="single" w:sz="4" w:space="0" w:color="auto"/>
            </w:tcBorders>
          </w:tcPr>
          <w:p w14:paraId="7434A278" w14:textId="77777777" w:rsidR="003E5B95" w:rsidRPr="00EE2B4F" w:rsidRDefault="003E5B95" w:rsidP="003E5B95">
            <w:pPr>
              <w:spacing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noProof/>
                <w:kern w:val="0"/>
                <w:szCs w:val="24"/>
                <w:lang w:eastAsia="en-US"/>
              </w:rPr>
              <w:t>(Cavanaugh et al., 2000)</w:t>
            </w:r>
          </w:p>
        </w:tc>
      </w:tr>
    </w:tbl>
    <w:p w14:paraId="79823CCC" w14:textId="77777777" w:rsidR="003E5B95" w:rsidRPr="00DA5AC5" w:rsidRDefault="003E5B95" w:rsidP="00AB13D5">
      <w:pPr>
        <w:pStyle w:val="Heading2"/>
        <w:spacing w:before="240"/>
      </w:pPr>
      <w:bookmarkStart w:id="376" w:name="_Toc74045288"/>
      <w:bookmarkStart w:id="377" w:name="_Toc74087574"/>
      <w:bookmarkStart w:id="378" w:name="_Toc74258690"/>
      <w:r w:rsidRPr="00DA5AC5">
        <w:lastRenderedPageBreak/>
        <w:t xml:space="preserve">Appendix </w:t>
      </w:r>
      <w:r>
        <w:t xml:space="preserve">L.2 </w:t>
      </w:r>
      <w:r w:rsidRPr="00DA5AC5">
        <w:t>Delphi Study</w:t>
      </w:r>
      <w:bookmarkEnd w:id="376"/>
      <w:bookmarkEnd w:id="377"/>
      <w:bookmarkEnd w:id="378"/>
    </w:p>
    <w:p w14:paraId="14636343" w14:textId="067B7461" w:rsidR="003E5B95" w:rsidRDefault="003E5B95" w:rsidP="003E5B95">
      <w:pPr>
        <w:spacing w:after="160"/>
        <w:ind w:firstLine="0"/>
        <w:contextualSpacing w:val="0"/>
        <w:rPr>
          <w:rFonts w:cs="Times New Roman"/>
          <w:kern w:val="0"/>
          <w:szCs w:val="24"/>
          <w:lang w:eastAsia="en-US"/>
        </w:rPr>
      </w:pPr>
      <w:r w:rsidRPr="00DA5AC5">
        <w:rPr>
          <w:rFonts w:cs="Times New Roman"/>
          <w:kern w:val="0"/>
          <w:szCs w:val="24"/>
          <w:lang w:eastAsia="en-US"/>
        </w:rPr>
        <w:t xml:space="preserve">Cybersecurity is a high-risk, high-reward profession. For most cybersecurity professionals, the work is exhilarating, challenging, and highly valued by the industry. </w:t>
      </w:r>
      <w:r w:rsidR="00700C32">
        <w:rPr>
          <w:rFonts w:cs="Times New Roman"/>
          <w:kern w:val="0"/>
          <w:szCs w:val="24"/>
          <w:lang w:eastAsia="en-US"/>
        </w:rPr>
        <w:t>C</w:t>
      </w:r>
      <w:r w:rsidRPr="00DA5AC5">
        <w:rPr>
          <w:rFonts w:cs="Times New Roman"/>
          <w:kern w:val="0"/>
          <w:szCs w:val="24"/>
          <w:lang w:eastAsia="en-US"/>
        </w:rPr>
        <w:t>ybersecurity professionals also experience physical and emotional stressors in their roles, such as time pressures or heavy workloads. Anything that causes stress at work is a job stressor. However, these stressors also help or hinder cybersecurity professionals in the efforts to achieve their personal goals (such as promotions and bonuses) and accomplish work tasks (such as securing their organization’s critical information assets). By keeping in mind that certain stressors can either help or hinder your personal goal attainment and work task accomplishments, please assign each job stressor to one of two categories, Help or Hinder. If you do not believe that the stressor either helps or hinders or are simply unsure, please select Irrelevant.</w:t>
      </w:r>
    </w:p>
    <w:p w14:paraId="43E3C334" w14:textId="003DCD16" w:rsidR="003E5B95" w:rsidRPr="00317619" w:rsidRDefault="003E5B95" w:rsidP="003E5B95">
      <w:pPr>
        <w:spacing w:after="160"/>
        <w:ind w:firstLine="0"/>
        <w:contextualSpacing w:val="0"/>
        <w:rPr>
          <w:szCs w:val="24"/>
          <w:lang w:eastAsia="en-US"/>
        </w:rPr>
      </w:pPr>
      <w:r>
        <w:rPr>
          <w:rFonts w:cs="Times New Roman"/>
          <w:kern w:val="0"/>
          <w:szCs w:val="24"/>
          <w:lang w:eastAsia="en-US"/>
        </w:rPr>
        <w:t>A list of job demands</w:t>
      </w:r>
      <w:r w:rsidR="00700C32">
        <w:rPr>
          <w:rFonts w:cs="Times New Roman"/>
          <w:kern w:val="0"/>
          <w:szCs w:val="24"/>
          <w:lang w:eastAsia="en-US"/>
        </w:rPr>
        <w:t xml:space="preserve"> and resources, as shown below, will be</w:t>
      </w:r>
      <w:r>
        <w:rPr>
          <w:rFonts w:cs="Times New Roman"/>
          <w:kern w:val="0"/>
          <w:szCs w:val="24"/>
          <w:lang w:eastAsia="en-US"/>
        </w:rPr>
        <w:t xml:space="preserve"> provided to the participants.</w:t>
      </w:r>
      <w:r w:rsidRPr="007E583F">
        <w:rPr>
          <w:rFonts w:cs="Times New Roman"/>
          <w:kern w:val="0"/>
          <w:szCs w:val="24"/>
          <w:lang w:eastAsia="en-US"/>
        </w:rPr>
        <w:t xml:space="preserve"> This list is primarily constructed from Schaufeli and Taris </w:t>
      </w:r>
      <w:r w:rsidRPr="007E583F">
        <w:rPr>
          <w:rFonts w:cs="Times New Roman"/>
          <w:noProof/>
          <w:kern w:val="0"/>
          <w:szCs w:val="24"/>
          <w:lang w:eastAsia="en-US"/>
        </w:rPr>
        <w:t>(2014)</w:t>
      </w:r>
      <w:r w:rsidRPr="007E583F">
        <w:rPr>
          <w:rFonts w:cs="Times New Roman"/>
          <w:kern w:val="0"/>
          <w:szCs w:val="24"/>
          <w:lang w:eastAsia="en-US"/>
        </w:rPr>
        <w:t xml:space="preserve"> and supplemented with the list of demands identified from IS literature. Definitions of these terms will be provided where applicable</w:t>
      </w:r>
      <w:r>
        <w:rPr>
          <w:szCs w:val="24"/>
          <w:lang w:eastAsia="en-US"/>
        </w:rPr>
        <w:t>.</w:t>
      </w:r>
    </w:p>
    <w:p w14:paraId="13C46EC5" w14:textId="77777777" w:rsidR="003E5B95" w:rsidRDefault="003E5B95" w:rsidP="003E5B95">
      <w:pPr>
        <w:pStyle w:val="Caption"/>
        <w:keepNext/>
        <w:spacing w:line="480" w:lineRule="auto"/>
        <w:rPr>
          <w:sz w:val="24"/>
          <w:szCs w:val="24"/>
        </w:rPr>
      </w:pPr>
      <w:bookmarkStart w:id="379" w:name="_Toc73955275"/>
      <w:bookmarkStart w:id="380" w:name="_Toc74074436"/>
      <w:r w:rsidRPr="00B54F4D">
        <w:rPr>
          <w:sz w:val="24"/>
          <w:szCs w:val="24"/>
        </w:rPr>
        <w:t xml:space="preserve">Table </w:t>
      </w:r>
      <w:r>
        <w:rPr>
          <w:sz w:val="24"/>
          <w:szCs w:val="24"/>
        </w:rPr>
        <w:t>L2</w:t>
      </w:r>
      <w:r w:rsidRPr="00B54F4D">
        <w:rPr>
          <w:sz w:val="24"/>
          <w:szCs w:val="24"/>
        </w:rPr>
        <w:t xml:space="preserve"> </w:t>
      </w:r>
      <w:bookmarkStart w:id="381" w:name="_Toc73917995"/>
    </w:p>
    <w:p w14:paraId="71DA3CFA" w14:textId="77777777" w:rsidR="003E5B95" w:rsidRPr="00B54F4D" w:rsidRDefault="003E5B95" w:rsidP="003E5B95">
      <w:pPr>
        <w:pStyle w:val="Caption"/>
        <w:keepNext/>
        <w:spacing w:line="480" w:lineRule="auto"/>
        <w:rPr>
          <w:b w:val="0"/>
          <w:bCs/>
          <w:i/>
          <w:iCs w:val="0"/>
          <w:sz w:val="24"/>
          <w:szCs w:val="24"/>
        </w:rPr>
      </w:pPr>
      <w:r w:rsidRPr="00B54F4D">
        <w:rPr>
          <w:b w:val="0"/>
          <w:bCs/>
          <w:i/>
          <w:iCs w:val="0"/>
          <w:sz w:val="24"/>
          <w:szCs w:val="24"/>
        </w:rPr>
        <w:t>List of Job Demands</w:t>
      </w:r>
      <w:bookmarkEnd w:id="379"/>
      <w:bookmarkEnd w:id="380"/>
      <w:bookmarkEnd w:id="381"/>
    </w:p>
    <w:tbl>
      <w:tblPr>
        <w:tblStyle w:val="PlainTable4"/>
        <w:tblW w:w="0" w:type="auto"/>
        <w:tblLook w:val="04A0" w:firstRow="1" w:lastRow="0" w:firstColumn="1" w:lastColumn="0" w:noHBand="0" w:noVBand="1"/>
      </w:tblPr>
      <w:tblGrid>
        <w:gridCol w:w="5563"/>
        <w:gridCol w:w="1259"/>
        <w:gridCol w:w="1103"/>
        <w:gridCol w:w="1435"/>
      </w:tblGrid>
      <w:tr w:rsidR="003E5B95" w:rsidRPr="007D53C0" w14:paraId="5DAC32C9" w14:textId="77777777" w:rsidTr="00BD7489">
        <w:trPr>
          <w:cnfStyle w:val="100000000000" w:firstRow="1" w:lastRow="0" w:firstColumn="0" w:lastColumn="0" w:oddVBand="0" w:evenVBand="0" w:oddHBand="0" w:evenHBand="0" w:firstRowFirstColumn="0" w:firstRowLastColumn="0" w:lastRowFirstColumn="0" w:lastRowLastColumn="0"/>
          <w:trHeight w:val="288"/>
          <w:tblHeader/>
        </w:trPr>
        <w:tc>
          <w:tcPr>
            <w:cnfStyle w:val="001000000000" w:firstRow="0" w:lastRow="0" w:firstColumn="1" w:lastColumn="0" w:oddVBand="0" w:evenVBand="0" w:oddHBand="0" w:evenHBand="0" w:firstRowFirstColumn="0" w:firstRowLastColumn="0" w:lastRowFirstColumn="0" w:lastRowLastColumn="0"/>
            <w:tcW w:w="5575" w:type="dxa"/>
            <w:tcBorders>
              <w:top w:val="single" w:sz="4" w:space="0" w:color="auto"/>
              <w:bottom w:val="single" w:sz="4" w:space="0" w:color="auto"/>
              <w:right w:val="single" w:sz="4" w:space="0" w:color="auto"/>
            </w:tcBorders>
          </w:tcPr>
          <w:p w14:paraId="5C62329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demands</w:t>
            </w:r>
          </w:p>
        </w:tc>
        <w:tc>
          <w:tcPr>
            <w:tcW w:w="1260" w:type="dxa"/>
            <w:tcBorders>
              <w:top w:val="single" w:sz="4" w:space="0" w:color="auto"/>
              <w:left w:val="single" w:sz="4" w:space="0" w:color="auto"/>
              <w:bottom w:val="single" w:sz="4" w:space="0" w:color="auto"/>
            </w:tcBorders>
          </w:tcPr>
          <w:p w14:paraId="3E3C8B2D"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Help</w:t>
            </w:r>
          </w:p>
        </w:tc>
        <w:tc>
          <w:tcPr>
            <w:tcW w:w="1080" w:type="dxa"/>
            <w:tcBorders>
              <w:top w:val="single" w:sz="4" w:space="0" w:color="auto"/>
              <w:bottom w:val="single" w:sz="4" w:space="0" w:color="auto"/>
            </w:tcBorders>
          </w:tcPr>
          <w:p w14:paraId="33B40488"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Hinder</w:t>
            </w:r>
          </w:p>
        </w:tc>
        <w:tc>
          <w:tcPr>
            <w:tcW w:w="1435" w:type="dxa"/>
            <w:tcBorders>
              <w:top w:val="single" w:sz="4" w:space="0" w:color="auto"/>
              <w:bottom w:val="single" w:sz="4" w:space="0" w:color="auto"/>
            </w:tcBorders>
          </w:tcPr>
          <w:p w14:paraId="1C1E9E50"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 xml:space="preserve">Irrelevant </w:t>
            </w:r>
          </w:p>
        </w:tc>
      </w:tr>
      <w:tr w:rsidR="003E5B95" w:rsidRPr="007D53C0" w14:paraId="709EB27E"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top w:val="single" w:sz="4" w:space="0" w:color="auto"/>
              <w:right w:val="single" w:sz="4" w:space="0" w:color="auto"/>
            </w:tcBorders>
          </w:tcPr>
          <w:p w14:paraId="32252D0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Centralization</w:t>
            </w:r>
          </w:p>
        </w:tc>
        <w:tc>
          <w:tcPr>
            <w:tcW w:w="1260" w:type="dxa"/>
            <w:tcBorders>
              <w:top w:val="single" w:sz="4" w:space="0" w:color="auto"/>
              <w:left w:val="single" w:sz="4" w:space="0" w:color="auto"/>
            </w:tcBorders>
          </w:tcPr>
          <w:p w14:paraId="573E120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Borders>
              <w:top w:val="single" w:sz="4" w:space="0" w:color="auto"/>
            </w:tcBorders>
          </w:tcPr>
          <w:p w14:paraId="034598B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Borders>
              <w:top w:val="single" w:sz="4" w:space="0" w:color="auto"/>
            </w:tcBorders>
          </w:tcPr>
          <w:p w14:paraId="2001657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5A5A313D"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3326CF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Cognitive demands such as multi-tasking</w:t>
            </w:r>
          </w:p>
        </w:tc>
        <w:tc>
          <w:tcPr>
            <w:tcW w:w="1260" w:type="dxa"/>
            <w:tcBorders>
              <w:left w:val="single" w:sz="4" w:space="0" w:color="auto"/>
            </w:tcBorders>
          </w:tcPr>
          <w:p w14:paraId="108ABD1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585A74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636FFD6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550F56B9"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11FC78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(task complexity)</w:t>
            </w:r>
          </w:p>
        </w:tc>
        <w:tc>
          <w:tcPr>
            <w:tcW w:w="1260" w:type="dxa"/>
            <w:tcBorders>
              <w:left w:val="single" w:sz="4" w:space="0" w:color="auto"/>
            </w:tcBorders>
          </w:tcPr>
          <w:p w14:paraId="4B37569F"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2502E8E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7BADC94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394E8D2D"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487EDE6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Computer problems</w:t>
            </w:r>
          </w:p>
        </w:tc>
        <w:tc>
          <w:tcPr>
            <w:tcW w:w="1260" w:type="dxa"/>
            <w:tcBorders>
              <w:left w:val="single" w:sz="4" w:space="0" w:color="auto"/>
            </w:tcBorders>
          </w:tcPr>
          <w:p w14:paraId="4626340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42A62BD5"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7BEC74E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46228B87"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58AD28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Demanding contacts with clients or other employees in the organization</w:t>
            </w:r>
          </w:p>
        </w:tc>
        <w:tc>
          <w:tcPr>
            <w:tcW w:w="1260" w:type="dxa"/>
            <w:tcBorders>
              <w:left w:val="single" w:sz="4" w:space="0" w:color="auto"/>
            </w:tcBorders>
          </w:tcPr>
          <w:p w14:paraId="09BBADC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0006AD9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1B3E753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6BF876D3"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64FA06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Downsizing</w:t>
            </w:r>
          </w:p>
        </w:tc>
        <w:tc>
          <w:tcPr>
            <w:tcW w:w="1260" w:type="dxa"/>
            <w:tcBorders>
              <w:left w:val="single" w:sz="4" w:space="0" w:color="auto"/>
            </w:tcBorders>
          </w:tcPr>
          <w:p w14:paraId="27C9212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6A0A970F"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335200E1"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70AC6DB2"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5F37A9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Emotional demands</w:t>
            </w:r>
          </w:p>
        </w:tc>
        <w:tc>
          <w:tcPr>
            <w:tcW w:w="1260" w:type="dxa"/>
            <w:tcBorders>
              <w:left w:val="single" w:sz="4" w:space="0" w:color="auto"/>
            </w:tcBorders>
          </w:tcPr>
          <w:p w14:paraId="58B3732F"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7756BAF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554FC7AF"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106CE634"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1F93FC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Emotional dissonance </w:t>
            </w:r>
          </w:p>
        </w:tc>
        <w:tc>
          <w:tcPr>
            <w:tcW w:w="1260" w:type="dxa"/>
            <w:tcBorders>
              <w:left w:val="single" w:sz="4" w:space="0" w:color="auto"/>
            </w:tcBorders>
          </w:tcPr>
          <w:p w14:paraId="721151F1"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1D818CC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0E027C7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69B2DB78"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CC802A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Interpersonal conflict</w:t>
            </w:r>
          </w:p>
        </w:tc>
        <w:tc>
          <w:tcPr>
            <w:tcW w:w="1260" w:type="dxa"/>
            <w:tcBorders>
              <w:left w:val="single" w:sz="4" w:space="0" w:color="auto"/>
            </w:tcBorders>
          </w:tcPr>
          <w:p w14:paraId="601994A2"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5067E2E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3C782F1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A161884"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D9A763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insecurity</w:t>
            </w:r>
          </w:p>
        </w:tc>
        <w:tc>
          <w:tcPr>
            <w:tcW w:w="1260" w:type="dxa"/>
            <w:tcBorders>
              <w:left w:val="single" w:sz="4" w:space="0" w:color="auto"/>
            </w:tcBorders>
          </w:tcPr>
          <w:p w14:paraId="79B5095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134631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41CB29F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1CE13DC"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CB7386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Negative spillover from family </w:t>
            </w:r>
            <w:proofErr w:type="gramStart"/>
            <w:r w:rsidRPr="00EE2B4F">
              <w:rPr>
                <w:rFonts w:cs="Times New Roman"/>
                <w:b w:val="0"/>
                <w:bCs w:val="0"/>
                <w:kern w:val="0"/>
                <w:szCs w:val="24"/>
                <w:lang w:eastAsia="en-US"/>
              </w:rPr>
              <w:t>with regard to</w:t>
            </w:r>
            <w:proofErr w:type="gramEnd"/>
            <w:r w:rsidRPr="00EE2B4F">
              <w:rPr>
                <w:rFonts w:cs="Times New Roman"/>
                <w:b w:val="0"/>
                <w:bCs w:val="0"/>
                <w:kern w:val="0"/>
                <w:szCs w:val="24"/>
                <w:lang w:eastAsia="en-US"/>
              </w:rPr>
              <w:t xml:space="preserve"> work</w:t>
            </w:r>
          </w:p>
        </w:tc>
        <w:tc>
          <w:tcPr>
            <w:tcW w:w="1260" w:type="dxa"/>
            <w:tcBorders>
              <w:left w:val="single" w:sz="4" w:space="0" w:color="auto"/>
            </w:tcBorders>
          </w:tcPr>
          <w:p w14:paraId="0BFA8C1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25DD710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3B45DA22"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0D745512"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9DC99A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Harassment by employees </w:t>
            </w:r>
          </w:p>
        </w:tc>
        <w:tc>
          <w:tcPr>
            <w:tcW w:w="1260" w:type="dxa"/>
            <w:tcBorders>
              <w:left w:val="single" w:sz="4" w:space="0" w:color="auto"/>
            </w:tcBorders>
          </w:tcPr>
          <w:p w14:paraId="7EFFF82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CE1035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1F4AA3A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67C9FA24"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42F0578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Performance demands such as</w:t>
            </w:r>
          </w:p>
        </w:tc>
        <w:tc>
          <w:tcPr>
            <w:tcW w:w="1260" w:type="dxa"/>
            <w:tcBorders>
              <w:left w:val="single" w:sz="4" w:space="0" w:color="auto"/>
            </w:tcBorders>
          </w:tcPr>
          <w:p w14:paraId="195999AD"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1D6942F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6A3AAB4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0CAB1A39"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4A8E232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Physical demands</w:t>
            </w:r>
          </w:p>
        </w:tc>
        <w:tc>
          <w:tcPr>
            <w:tcW w:w="1260" w:type="dxa"/>
            <w:tcBorders>
              <w:left w:val="single" w:sz="4" w:space="0" w:color="auto"/>
            </w:tcBorders>
          </w:tcPr>
          <w:p w14:paraId="49E6599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2508D7D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5F4C497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68436F3"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B19B4D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Problems planning</w:t>
            </w:r>
          </w:p>
        </w:tc>
        <w:tc>
          <w:tcPr>
            <w:tcW w:w="1260" w:type="dxa"/>
            <w:tcBorders>
              <w:left w:val="single" w:sz="4" w:space="0" w:color="auto"/>
            </w:tcBorders>
          </w:tcPr>
          <w:p w14:paraId="443B04B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27313A00"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268AD11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05CB88D9"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93CC8B8"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Employee misbehavior</w:t>
            </w:r>
          </w:p>
        </w:tc>
        <w:tc>
          <w:tcPr>
            <w:tcW w:w="1260" w:type="dxa"/>
            <w:tcBorders>
              <w:left w:val="single" w:sz="4" w:space="0" w:color="auto"/>
            </w:tcBorders>
          </w:tcPr>
          <w:p w14:paraId="7BECF66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4CB6037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7DB0E19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6CFAADC"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6C4D8D6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Work overload </w:t>
            </w:r>
          </w:p>
        </w:tc>
        <w:tc>
          <w:tcPr>
            <w:tcW w:w="1260" w:type="dxa"/>
            <w:tcBorders>
              <w:left w:val="single" w:sz="4" w:space="0" w:color="auto"/>
            </w:tcBorders>
          </w:tcPr>
          <w:p w14:paraId="763768F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46C2819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2EF2E1DD"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1B33552"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7DA900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Reorganization</w:t>
            </w:r>
          </w:p>
        </w:tc>
        <w:tc>
          <w:tcPr>
            <w:tcW w:w="1260" w:type="dxa"/>
            <w:tcBorders>
              <w:left w:val="single" w:sz="4" w:space="0" w:color="auto"/>
            </w:tcBorders>
          </w:tcPr>
          <w:p w14:paraId="76D3B7FA"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345D97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19B3CC5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6C5EF338"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73114D19"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Remuneration</w:t>
            </w:r>
          </w:p>
        </w:tc>
        <w:tc>
          <w:tcPr>
            <w:tcW w:w="1260" w:type="dxa"/>
            <w:tcBorders>
              <w:left w:val="single" w:sz="4" w:space="0" w:color="auto"/>
            </w:tcBorders>
          </w:tcPr>
          <w:p w14:paraId="79C7AEC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7C888A9D"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1D3A9B2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481E57B"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1A5933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Responsibility</w:t>
            </w:r>
          </w:p>
        </w:tc>
        <w:tc>
          <w:tcPr>
            <w:tcW w:w="1260" w:type="dxa"/>
            <w:tcBorders>
              <w:left w:val="single" w:sz="4" w:space="0" w:color="auto"/>
            </w:tcBorders>
          </w:tcPr>
          <w:p w14:paraId="180CB5B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AA3EB1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3D7DF73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8944CFF"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64D53C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Risks and hazards</w:t>
            </w:r>
          </w:p>
        </w:tc>
        <w:tc>
          <w:tcPr>
            <w:tcW w:w="1260" w:type="dxa"/>
            <w:tcBorders>
              <w:left w:val="single" w:sz="4" w:space="0" w:color="auto"/>
            </w:tcBorders>
          </w:tcPr>
          <w:p w14:paraId="7F931C8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49BA6C3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0FD5651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77B94B85"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C5A8F1B"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Role ambiguity (lack of information needed to perform one’s job and the unpredictability of the consequences of one’s performance)</w:t>
            </w:r>
          </w:p>
        </w:tc>
        <w:tc>
          <w:tcPr>
            <w:tcW w:w="1260" w:type="dxa"/>
            <w:tcBorders>
              <w:left w:val="single" w:sz="4" w:space="0" w:color="auto"/>
            </w:tcBorders>
          </w:tcPr>
          <w:p w14:paraId="7930C8AF"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5F8FE585"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2E651A9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15AF23F"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A93308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Role conflict (describes a conflict between the duties corresponding to two or more roles)  </w:t>
            </w:r>
          </w:p>
        </w:tc>
        <w:tc>
          <w:tcPr>
            <w:tcW w:w="1260" w:type="dxa"/>
            <w:tcBorders>
              <w:left w:val="single" w:sz="4" w:space="0" w:color="auto"/>
            </w:tcBorders>
          </w:tcPr>
          <w:p w14:paraId="1BB913E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263CE6CC"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096EF93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126B2D75"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90C10C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 xml:space="preserve">Role overload (when the requirements from an employee’s job exceed his or her capacity in terms of the level of difficulty or the amount of work) </w:t>
            </w:r>
          </w:p>
        </w:tc>
        <w:tc>
          <w:tcPr>
            <w:tcW w:w="1260" w:type="dxa"/>
            <w:tcBorders>
              <w:left w:val="single" w:sz="4" w:space="0" w:color="auto"/>
            </w:tcBorders>
          </w:tcPr>
          <w:p w14:paraId="7EEBD351"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816C4E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5C8C6E2A"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20466F3B"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4BBA01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Sexual harassment</w:t>
            </w:r>
          </w:p>
        </w:tc>
        <w:tc>
          <w:tcPr>
            <w:tcW w:w="1260" w:type="dxa"/>
            <w:tcBorders>
              <w:left w:val="single" w:sz="4" w:space="0" w:color="auto"/>
            </w:tcBorders>
          </w:tcPr>
          <w:p w14:paraId="1CF89FB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09140CC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613A9A83"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0F465199"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4925E387"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Time pressure</w:t>
            </w:r>
          </w:p>
        </w:tc>
        <w:tc>
          <w:tcPr>
            <w:tcW w:w="1260" w:type="dxa"/>
            <w:tcBorders>
              <w:left w:val="single" w:sz="4" w:space="0" w:color="auto"/>
            </w:tcBorders>
          </w:tcPr>
          <w:p w14:paraId="4D969B9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25DCD39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23AF185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B85EF1A"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7B51BB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Unfavorable shift work schedule</w:t>
            </w:r>
          </w:p>
        </w:tc>
        <w:tc>
          <w:tcPr>
            <w:tcW w:w="1260" w:type="dxa"/>
            <w:tcBorders>
              <w:left w:val="single" w:sz="4" w:space="0" w:color="auto"/>
            </w:tcBorders>
          </w:tcPr>
          <w:p w14:paraId="19F44F9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4C9DF1C0"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62503EC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3D07789A"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C328DDE"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Unfavorable work conditions</w:t>
            </w:r>
          </w:p>
        </w:tc>
        <w:tc>
          <w:tcPr>
            <w:tcW w:w="1260" w:type="dxa"/>
            <w:tcBorders>
              <w:left w:val="single" w:sz="4" w:space="0" w:color="auto"/>
            </w:tcBorders>
          </w:tcPr>
          <w:p w14:paraId="5A7933D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76C5E5A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2107A311"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F4C3D2E"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62AA72F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Work pressure</w:t>
            </w:r>
          </w:p>
        </w:tc>
        <w:tc>
          <w:tcPr>
            <w:tcW w:w="1260" w:type="dxa"/>
            <w:tcBorders>
              <w:left w:val="single" w:sz="4" w:space="0" w:color="auto"/>
            </w:tcBorders>
          </w:tcPr>
          <w:p w14:paraId="4009C22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516A2A22"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70DF3DA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63F5847"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6AD3D291"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Work-home conflict </w:t>
            </w:r>
          </w:p>
        </w:tc>
        <w:tc>
          <w:tcPr>
            <w:tcW w:w="1260" w:type="dxa"/>
            <w:tcBorders>
              <w:left w:val="single" w:sz="4" w:space="0" w:color="auto"/>
            </w:tcBorders>
          </w:tcPr>
          <w:p w14:paraId="5B42021B"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0E57A25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52FBF05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898D142"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672A512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Work overload</w:t>
            </w:r>
          </w:p>
        </w:tc>
        <w:tc>
          <w:tcPr>
            <w:tcW w:w="1260" w:type="dxa"/>
            <w:tcBorders>
              <w:left w:val="single" w:sz="4" w:space="0" w:color="auto"/>
            </w:tcBorders>
          </w:tcPr>
          <w:p w14:paraId="5D77B88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54EE125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4C41850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6605F940"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69A08C8B"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Responsibility for employees </w:t>
            </w:r>
          </w:p>
        </w:tc>
        <w:tc>
          <w:tcPr>
            <w:tcW w:w="1260" w:type="dxa"/>
            <w:tcBorders>
              <w:left w:val="single" w:sz="4" w:space="0" w:color="auto"/>
            </w:tcBorders>
          </w:tcPr>
          <w:p w14:paraId="4F3C99D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62E6DC24"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4D9847C4"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CDA24AA"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E37FE4B"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Participation (the extent to which one has influence over decisions relevant to one’s job)</w:t>
            </w:r>
          </w:p>
        </w:tc>
        <w:tc>
          <w:tcPr>
            <w:tcW w:w="1260" w:type="dxa"/>
            <w:tcBorders>
              <w:left w:val="single" w:sz="4" w:space="0" w:color="auto"/>
            </w:tcBorders>
          </w:tcPr>
          <w:p w14:paraId="15234842"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0597CA9F"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2B44E38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1975377"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7BD471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Keeping up with the new technology change</w:t>
            </w:r>
          </w:p>
        </w:tc>
        <w:tc>
          <w:tcPr>
            <w:tcW w:w="1260" w:type="dxa"/>
            <w:tcBorders>
              <w:left w:val="single" w:sz="4" w:space="0" w:color="auto"/>
            </w:tcBorders>
          </w:tcPr>
          <w:p w14:paraId="235CA26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3CE5475"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0D8AD19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77CF1C0D"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4569CC41"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Being in an innovative role (having to bring change to the organization)</w:t>
            </w:r>
          </w:p>
        </w:tc>
        <w:tc>
          <w:tcPr>
            <w:tcW w:w="1260" w:type="dxa"/>
            <w:tcBorders>
              <w:left w:val="single" w:sz="4" w:space="0" w:color="auto"/>
            </w:tcBorders>
          </w:tcPr>
          <w:p w14:paraId="06CDB32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1C5EBB5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79456F63"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55FF3963"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F741EEC" w14:textId="76588152"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Recent episodic event (e.g.</w:t>
            </w:r>
            <w:r w:rsidR="00700C32">
              <w:rPr>
                <w:rFonts w:cs="Times New Roman"/>
                <w:b w:val="0"/>
                <w:bCs w:val="0"/>
                <w:kern w:val="0"/>
                <w:szCs w:val="24"/>
                <w:lang w:eastAsia="en-US"/>
              </w:rPr>
              <w:t xml:space="preserve">, </w:t>
            </w:r>
            <w:r w:rsidRPr="00EE2B4F">
              <w:rPr>
                <w:rFonts w:cs="Times New Roman"/>
                <w:b w:val="0"/>
                <w:bCs w:val="0"/>
                <w:kern w:val="0"/>
                <w:szCs w:val="24"/>
                <w:lang w:eastAsia="en-US"/>
              </w:rPr>
              <w:t>data breach)</w:t>
            </w:r>
          </w:p>
        </w:tc>
        <w:tc>
          <w:tcPr>
            <w:tcW w:w="1260" w:type="dxa"/>
            <w:tcBorders>
              <w:left w:val="single" w:sz="4" w:space="0" w:color="auto"/>
            </w:tcBorders>
          </w:tcPr>
          <w:p w14:paraId="04D33BD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36ABADD4"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7338681E"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1F7A0C33"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B4979C9"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Organizational structure and climate (having to work within a bureaucratic organization that is slow to react to new situations, has poor communication channels, imposes restrictions)</w:t>
            </w:r>
          </w:p>
        </w:tc>
        <w:tc>
          <w:tcPr>
            <w:tcW w:w="1260" w:type="dxa"/>
            <w:tcBorders>
              <w:left w:val="single" w:sz="4" w:space="0" w:color="auto"/>
            </w:tcBorders>
          </w:tcPr>
          <w:p w14:paraId="0CD1E04D"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6A969A00"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2E9EDC6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3A908261"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832BD8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Poor communication</w:t>
            </w:r>
          </w:p>
        </w:tc>
        <w:tc>
          <w:tcPr>
            <w:tcW w:w="1260" w:type="dxa"/>
            <w:tcBorders>
              <w:left w:val="single" w:sz="4" w:space="0" w:color="auto"/>
            </w:tcBorders>
          </w:tcPr>
          <w:p w14:paraId="3D9D6B9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5B3626C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477A515F"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2996418B"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4E6870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Ineffective or lack of planning </w:t>
            </w:r>
          </w:p>
        </w:tc>
        <w:tc>
          <w:tcPr>
            <w:tcW w:w="1260" w:type="dxa"/>
            <w:tcBorders>
              <w:left w:val="single" w:sz="4" w:space="0" w:color="auto"/>
            </w:tcBorders>
          </w:tcPr>
          <w:p w14:paraId="2AD7BFF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31EC09B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473DD161"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646C13AB"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45D3A08"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Conflicting goals</w:t>
            </w:r>
          </w:p>
        </w:tc>
        <w:tc>
          <w:tcPr>
            <w:tcW w:w="1260" w:type="dxa"/>
            <w:tcBorders>
              <w:left w:val="single" w:sz="4" w:space="0" w:color="auto"/>
            </w:tcBorders>
          </w:tcPr>
          <w:p w14:paraId="0787F1CB"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0553A4A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74E08570"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C43C2DA"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213B7C3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Lack of team/cooperation</w:t>
            </w:r>
          </w:p>
        </w:tc>
        <w:tc>
          <w:tcPr>
            <w:tcW w:w="1260" w:type="dxa"/>
            <w:tcBorders>
              <w:left w:val="single" w:sz="4" w:space="0" w:color="auto"/>
            </w:tcBorders>
          </w:tcPr>
          <w:p w14:paraId="0219DFF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35B1DC39"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035A5A38"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1E9B646"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E96FAFE"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Organizational changes</w:t>
            </w:r>
          </w:p>
        </w:tc>
        <w:tc>
          <w:tcPr>
            <w:tcW w:w="1260" w:type="dxa"/>
            <w:tcBorders>
              <w:left w:val="single" w:sz="4" w:space="0" w:color="auto"/>
            </w:tcBorders>
          </w:tcPr>
          <w:p w14:paraId="512794E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768919D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04B153D5"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32D89836"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E024F2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Unrealistic user expectations</w:t>
            </w:r>
          </w:p>
        </w:tc>
        <w:tc>
          <w:tcPr>
            <w:tcW w:w="1260" w:type="dxa"/>
            <w:tcBorders>
              <w:left w:val="single" w:sz="4" w:space="0" w:color="auto"/>
            </w:tcBorders>
          </w:tcPr>
          <w:p w14:paraId="59A28B90"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4BD106B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2CFAF6B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59A40162"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3A542A8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Ineffective management/supervision</w:t>
            </w:r>
          </w:p>
        </w:tc>
        <w:tc>
          <w:tcPr>
            <w:tcW w:w="1260" w:type="dxa"/>
            <w:tcBorders>
              <w:left w:val="single" w:sz="4" w:space="0" w:color="auto"/>
            </w:tcBorders>
          </w:tcPr>
          <w:p w14:paraId="49EF7D5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03A94536"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0FD0D5BA"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04A03977"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03D5EB0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Ongoing/unresolved organizational problems</w:t>
            </w:r>
          </w:p>
        </w:tc>
        <w:tc>
          <w:tcPr>
            <w:tcW w:w="1260" w:type="dxa"/>
            <w:tcBorders>
              <w:left w:val="single" w:sz="4" w:space="0" w:color="auto"/>
            </w:tcBorders>
          </w:tcPr>
          <w:p w14:paraId="40A5A6D6"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2DFE23E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09B5202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7E608AB8"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11C938E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Organizational security demands</w:t>
            </w:r>
          </w:p>
        </w:tc>
        <w:tc>
          <w:tcPr>
            <w:tcW w:w="1260" w:type="dxa"/>
            <w:tcBorders>
              <w:left w:val="single" w:sz="4" w:space="0" w:color="auto"/>
            </w:tcBorders>
          </w:tcPr>
          <w:p w14:paraId="6F9922B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Pr>
          <w:p w14:paraId="60D527F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Pr>
          <w:p w14:paraId="6C6BCB3B"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7D53C0" w14:paraId="159F80C2" w14:textId="77777777" w:rsidTr="00BD7489">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5575" w:type="dxa"/>
            <w:tcBorders>
              <w:right w:val="single" w:sz="4" w:space="0" w:color="auto"/>
            </w:tcBorders>
          </w:tcPr>
          <w:p w14:paraId="58B6B17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Project level risk factors</w:t>
            </w:r>
          </w:p>
          <w:p w14:paraId="73C2655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(project size, complexity, project schedule, budget, scope changes)</w:t>
            </w:r>
          </w:p>
        </w:tc>
        <w:tc>
          <w:tcPr>
            <w:tcW w:w="1260" w:type="dxa"/>
            <w:tcBorders>
              <w:left w:val="single" w:sz="4" w:space="0" w:color="auto"/>
            </w:tcBorders>
          </w:tcPr>
          <w:p w14:paraId="03B5946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080" w:type="dxa"/>
          </w:tcPr>
          <w:p w14:paraId="680B852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c>
          <w:tcPr>
            <w:tcW w:w="1435" w:type="dxa"/>
          </w:tcPr>
          <w:p w14:paraId="1CFF9FB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7D53C0" w14:paraId="20E866CA" w14:textId="77777777" w:rsidTr="00BD7489">
        <w:trPr>
          <w:trHeight w:val="288"/>
        </w:trPr>
        <w:tc>
          <w:tcPr>
            <w:cnfStyle w:val="001000000000" w:firstRow="0" w:lastRow="0" w:firstColumn="1" w:lastColumn="0" w:oddVBand="0" w:evenVBand="0" w:oddHBand="0" w:evenHBand="0" w:firstRowFirstColumn="0" w:firstRowLastColumn="0" w:lastRowFirstColumn="0" w:lastRowLastColumn="0"/>
            <w:tcW w:w="5575" w:type="dxa"/>
            <w:tcBorders>
              <w:bottom w:val="single" w:sz="4" w:space="0" w:color="auto"/>
              <w:right w:val="single" w:sz="4" w:space="0" w:color="auto"/>
            </w:tcBorders>
          </w:tcPr>
          <w:p w14:paraId="231B5251"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Organizational sanctions</w:t>
            </w:r>
          </w:p>
        </w:tc>
        <w:tc>
          <w:tcPr>
            <w:tcW w:w="1260" w:type="dxa"/>
            <w:tcBorders>
              <w:left w:val="single" w:sz="4" w:space="0" w:color="auto"/>
              <w:bottom w:val="single" w:sz="4" w:space="0" w:color="auto"/>
            </w:tcBorders>
          </w:tcPr>
          <w:p w14:paraId="6A31BDF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080" w:type="dxa"/>
            <w:tcBorders>
              <w:bottom w:val="single" w:sz="4" w:space="0" w:color="auto"/>
            </w:tcBorders>
          </w:tcPr>
          <w:p w14:paraId="1151DD6A"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c>
          <w:tcPr>
            <w:tcW w:w="1435" w:type="dxa"/>
            <w:tcBorders>
              <w:bottom w:val="single" w:sz="4" w:space="0" w:color="auto"/>
            </w:tcBorders>
          </w:tcPr>
          <w:p w14:paraId="0CA7EAD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bl>
    <w:p w14:paraId="0EBC0776" w14:textId="77777777" w:rsidR="003E5B95" w:rsidRDefault="003E5B95" w:rsidP="003E5B95">
      <w:pPr>
        <w:ind w:firstLine="0"/>
        <w:contextualSpacing w:val="0"/>
        <w:rPr>
          <w:rFonts w:cs="Times New Roman"/>
          <w:kern w:val="0"/>
          <w:szCs w:val="24"/>
          <w:lang w:eastAsia="en-US"/>
        </w:rPr>
      </w:pPr>
    </w:p>
    <w:p w14:paraId="5E76F68F" w14:textId="2D5D55C5" w:rsidR="003E5B95" w:rsidRPr="00317619" w:rsidRDefault="003E5B95" w:rsidP="003E5B95">
      <w:pPr>
        <w:contextualSpacing w:val="0"/>
        <w:rPr>
          <w:rFonts w:cs="Times New Roman"/>
          <w:kern w:val="0"/>
          <w:sz w:val="20"/>
          <w:lang w:eastAsia="en-US"/>
        </w:rPr>
      </w:pPr>
      <w:r w:rsidRPr="00DA5AC5">
        <w:rPr>
          <w:rFonts w:cs="Times New Roman"/>
          <w:kern w:val="0"/>
          <w:szCs w:val="24"/>
          <w:lang w:eastAsia="en-US"/>
        </w:rPr>
        <w:t>Resources mitigate the negative effects of job demands and can be of two types</w:t>
      </w:r>
      <w:r w:rsidR="00700C32">
        <w:rPr>
          <w:rFonts w:cs="Times New Roman"/>
          <w:kern w:val="0"/>
          <w:szCs w:val="24"/>
          <w:lang w:eastAsia="en-US"/>
        </w:rPr>
        <w:t>: j</w:t>
      </w:r>
      <w:r w:rsidRPr="00DA5AC5">
        <w:rPr>
          <w:rFonts w:cs="Times New Roman"/>
          <w:kern w:val="0"/>
          <w:szCs w:val="24"/>
          <w:lang w:eastAsia="en-US"/>
        </w:rPr>
        <w:t>ob resources and personal resources. Job resources are the physical, social, or organizational aspects of a job that are functional in achieving work goals, stimulating personal growth</w:t>
      </w:r>
      <w:r w:rsidR="00700C32">
        <w:rPr>
          <w:rFonts w:cs="Times New Roman"/>
          <w:kern w:val="0"/>
          <w:szCs w:val="24"/>
          <w:lang w:eastAsia="en-US"/>
        </w:rPr>
        <w:t xml:space="preserve"> </w:t>
      </w:r>
      <w:r w:rsidRPr="00DA5AC5">
        <w:rPr>
          <w:rFonts w:cs="Times New Roman"/>
          <w:kern w:val="0"/>
          <w:szCs w:val="24"/>
          <w:lang w:eastAsia="en-US"/>
        </w:rPr>
        <w:t xml:space="preserve">and development. Receiving feedback at work, social support, and fairness are examples of job resources. Personal resources are linked to resiliency and the ability to successfully control one’s impact upon their environment during challenging circumstances. Optimism is one example of personal resources. With the distinction of job resources and personal resources in mind, please rank the given resources in their decreasing order of importance. </w:t>
      </w:r>
      <w:r w:rsidRPr="000A029C">
        <w:rPr>
          <w:rFonts w:cs="Times New Roman"/>
          <w:kern w:val="0"/>
          <w:szCs w:val="24"/>
          <w:lang w:eastAsia="en-US"/>
        </w:rPr>
        <w:t xml:space="preserve">A list of resources is shown below and primarily constructed from Schaufeli and Taris </w:t>
      </w:r>
      <w:r w:rsidRPr="000A029C">
        <w:rPr>
          <w:rFonts w:cs="Times New Roman"/>
          <w:noProof/>
          <w:kern w:val="0"/>
          <w:szCs w:val="24"/>
          <w:lang w:eastAsia="en-US"/>
        </w:rPr>
        <w:t>(2014)</w:t>
      </w:r>
      <w:r>
        <w:rPr>
          <w:rFonts w:cs="Times New Roman"/>
          <w:kern w:val="0"/>
          <w:szCs w:val="24"/>
          <w:lang w:eastAsia="en-US"/>
        </w:rPr>
        <w:t>.</w:t>
      </w:r>
    </w:p>
    <w:p w14:paraId="14DDAABD" w14:textId="4D41F034" w:rsidR="003E5B95" w:rsidRDefault="003E5B95" w:rsidP="003E5B95">
      <w:pPr>
        <w:pStyle w:val="Caption"/>
        <w:keepNext/>
        <w:spacing w:line="480" w:lineRule="auto"/>
        <w:rPr>
          <w:sz w:val="24"/>
          <w:szCs w:val="24"/>
        </w:rPr>
      </w:pPr>
      <w:bookmarkStart w:id="382" w:name="_Toc73955276"/>
      <w:bookmarkStart w:id="383" w:name="_Toc74074437"/>
      <w:r w:rsidRPr="00F31B48">
        <w:rPr>
          <w:sz w:val="24"/>
          <w:szCs w:val="24"/>
        </w:rPr>
        <w:t xml:space="preserve">Table </w:t>
      </w:r>
      <w:r w:rsidR="001520D2">
        <w:rPr>
          <w:sz w:val="24"/>
          <w:szCs w:val="24"/>
        </w:rPr>
        <w:t>L3</w:t>
      </w:r>
      <w:r w:rsidRPr="00F31B48">
        <w:rPr>
          <w:sz w:val="24"/>
          <w:szCs w:val="24"/>
        </w:rPr>
        <w:t xml:space="preserve"> </w:t>
      </w:r>
      <w:bookmarkStart w:id="384" w:name="_Toc73917996"/>
    </w:p>
    <w:p w14:paraId="16EBBF86" w14:textId="77777777" w:rsidR="003E5B95" w:rsidRPr="00F31B48" w:rsidRDefault="003E5B95" w:rsidP="003E5B95">
      <w:pPr>
        <w:pStyle w:val="Caption"/>
        <w:keepNext/>
        <w:spacing w:line="480" w:lineRule="auto"/>
        <w:rPr>
          <w:i/>
          <w:iCs w:val="0"/>
          <w:sz w:val="24"/>
          <w:szCs w:val="24"/>
        </w:rPr>
      </w:pPr>
      <w:r w:rsidRPr="00F31B48">
        <w:rPr>
          <w:b w:val="0"/>
          <w:bCs/>
          <w:i/>
          <w:iCs w:val="0"/>
          <w:sz w:val="24"/>
          <w:szCs w:val="24"/>
        </w:rPr>
        <w:t>List of Resources</w:t>
      </w:r>
      <w:bookmarkEnd w:id="382"/>
      <w:bookmarkEnd w:id="383"/>
      <w:bookmarkEnd w:id="384"/>
    </w:p>
    <w:tbl>
      <w:tblPr>
        <w:tblStyle w:val="PlainTable4"/>
        <w:tblW w:w="0" w:type="auto"/>
        <w:tblBorders>
          <w:top w:val="single" w:sz="4" w:space="0" w:color="auto"/>
          <w:bottom w:val="single" w:sz="4" w:space="0" w:color="auto"/>
        </w:tblBorders>
        <w:tblLook w:val="04A0" w:firstRow="1" w:lastRow="0" w:firstColumn="1" w:lastColumn="0" w:noHBand="0" w:noVBand="1"/>
      </w:tblPr>
      <w:tblGrid>
        <w:gridCol w:w="4675"/>
        <w:gridCol w:w="4675"/>
      </w:tblGrid>
      <w:tr w:rsidR="003E5B95" w:rsidRPr="00DA5AC5" w14:paraId="1AB4751E" w14:textId="77777777" w:rsidTr="00BD7489">
        <w:trPr>
          <w:cnfStyle w:val="100000000000" w:firstRow="1" w:lastRow="0" w:firstColumn="0" w:lastColumn="0" w:oddVBand="0" w:evenVBand="0" w:oddHBand="0" w:evenHBand="0" w:firstRowFirstColumn="0" w:firstRowLastColumn="0" w:lastRowFirstColumn="0" w:lastRowLastColumn="0"/>
          <w:trHeight w:val="216"/>
          <w:tblHeader/>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auto"/>
              <w:bottom w:val="single" w:sz="4" w:space="0" w:color="auto"/>
            </w:tcBorders>
          </w:tcPr>
          <w:p w14:paraId="6D1F274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resources</w:t>
            </w:r>
          </w:p>
        </w:tc>
        <w:tc>
          <w:tcPr>
            <w:tcW w:w="4675" w:type="dxa"/>
            <w:tcBorders>
              <w:top w:val="single" w:sz="4" w:space="0" w:color="auto"/>
              <w:bottom w:val="single" w:sz="4" w:space="0" w:color="auto"/>
              <w:right w:val="nil"/>
            </w:tcBorders>
          </w:tcPr>
          <w:p w14:paraId="5F31F5ED" w14:textId="77777777" w:rsidR="003E5B95" w:rsidRPr="00EE2B4F" w:rsidRDefault="003E5B95" w:rsidP="003E5B95">
            <w:pPr>
              <w:spacing w:after="100" w:line="360" w:lineRule="auto"/>
              <w:ind w:left="220" w:firstLine="0"/>
              <w:contextualSpacing w:val="0"/>
              <w:cnfStyle w:val="100000000000" w:firstRow="1" w:lastRow="0" w:firstColumn="0" w:lastColumn="0" w:oddVBand="0" w:evenVBand="0" w:oddHBand="0" w:evenHBand="0" w:firstRowFirstColumn="0" w:firstRowLastColumn="0" w:lastRowFirstColumn="0" w:lastRowLastColumn="0"/>
              <w:rPr>
                <w:rFonts w:cs="Times New Roman"/>
                <w:b w:val="0"/>
                <w:bCs w:val="0"/>
                <w:kern w:val="0"/>
                <w:szCs w:val="24"/>
                <w:lang w:eastAsia="en-US"/>
              </w:rPr>
            </w:pPr>
            <w:r w:rsidRPr="00EE2B4F">
              <w:rPr>
                <w:rFonts w:cs="Times New Roman"/>
                <w:b w:val="0"/>
                <w:bCs w:val="0"/>
                <w:kern w:val="0"/>
                <w:szCs w:val="24"/>
                <w:lang w:eastAsia="en-US"/>
              </w:rPr>
              <w:t>Personal resources</w:t>
            </w:r>
          </w:p>
        </w:tc>
      </w:tr>
      <w:tr w:rsidR="003E5B95" w:rsidRPr="00DA5AC5" w14:paraId="15EB524F" w14:textId="77777777" w:rsidTr="00BD7489">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Borders>
              <w:top w:val="single" w:sz="4" w:space="0" w:color="auto"/>
              <w:bottom w:val="nil"/>
            </w:tcBorders>
          </w:tcPr>
          <w:p w14:paraId="17FDC89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Career Advancement </w:t>
            </w:r>
          </w:p>
        </w:tc>
        <w:tc>
          <w:tcPr>
            <w:tcW w:w="4675" w:type="dxa"/>
            <w:tcBorders>
              <w:top w:val="single" w:sz="4" w:space="0" w:color="auto"/>
              <w:bottom w:val="nil"/>
              <w:right w:val="nil"/>
            </w:tcBorders>
          </w:tcPr>
          <w:p w14:paraId="7E04B6F2"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Emotional and mental capabilities</w:t>
            </w:r>
          </w:p>
        </w:tc>
      </w:tr>
      <w:tr w:rsidR="003E5B95" w:rsidRPr="00DA5AC5" w14:paraId="37417B8E" w14:textId="77777777" w:rsidTr="00BD7489">
        <w:trPr>
          <w:trHeight w:val="216"/>
        </w:trPr>
        <w:tc>
          <w:tcPr>
            <w:cnfStyle w:val="001000000000" w:firstRow="0" w:lastRow="0" w:firstColumn="1" w:lastColumn="0" w:oddVBand="0" w:evenVBand="0" w:oddHBand="0" w:evenHBand="0" w:firstRowFirstColumn="0" w:firstRowLastColumn="0" w:lastRowFirstColumn="0" w:lastRowLastColumn="0"/>
            <w:tcW w:w="4675" w:type="dxa"/>
            <w:tcBorders>
              <w:top w:val="nil"/>
            </w:tcBorders>
          </w:tcPr>
          <w:p w14:paraId="7FC165DB"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Appreciation</w:t>
            </w:r>
          </w:p>
        </w:tc>
        <w:tc>
          <w:tcPr>
            <w:tcW w:w="4675" w:type="dxa"/>
            <w:tcBorders>
              <w:top w:val="nil"/>
              <w:right w:val="nil"/>
            </w:tcBorders>
          </w:tcPr>
          <w:p w14:paraId="396D7580"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Hope</w:t>
            </w:r>
          </w:p>
        </w:tc>
      </w:tr>
      <w:tr w:rsidR="003E5B95" w:rsidRPr="00DA5AC5" w14:paraId="059C3CFF"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62DB81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Autonomy</w:t>
            </w:r>
          </w:p>
        </w:tc>
        <w:tc>
          <w:tcPr>
            <w:tcW w:w="4675" w:type="dxa"/>
            <w:tcBorders>
              <w:right w:val="nil"/>
            </w:tcBorders>
          </w:tcPr>
          <w:p w14:paraId="02FB814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Intrinsic motivation</w:t>
            </w:r>
          </w:p>
        </w:tc>
      </w:tr>
      <w:tr w:rsidR="003E5B95" w:rsidRPr="00DA5AC5" w14:paraId="0B8B219C"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55DCA3D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Craftsmanship</w:t>
            </w:r>
          </w:p>
        </w:tc>
        <w:tc>
          <w:tcPr>
            <w:tcW w:w="4675" w:type="dxa"/>
            <w:tcBorders>
              <w:right w:val="nil"/>
            </w:tcBorders>
          </w:tcPr>
          <w:p w14:paraId="0C85FEC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Need satisfaction (autonomy, belongingness, competence)</w:t>
            </w:r>
          </w:p>
        </w:tc>
      </w:tr>
      <w:tr w:rsidR="003E5B95" w:rsidRPr="00DA5AC5" w14:paraId="347DA21E"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3951BEF"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Financial rewards</w:t>
            </w:r>
          </w:p>
        </w:tc>
        <w:tc>
          <w:tcPr>
            <w:tcW w:w="4675" w:type="dxa"/>
            <w:tcBorders>
              <w:right w:val="nil"/>
            </w:tcBorders>
          </w:tcPr>
          <w:p w14:paraId="3A5D9DD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Optimism</w:t>
            </w:r>
          </w:p>
        </w:tc>
      </w:tr>
      <w:tr w:rsidR="003E5B95" w:rsidRPr="00DA5AC5" w14:paraId="64E7001E"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52C11E48"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Goal clarity</w:t>
            </w:r>
          </w:p>
        </w:tc>
        <w:tc>
          <w:tcPr>
            <w:tcW w:w="4675" w:type="dxa"/>
            <w:tcBorders>
              <w:right w:val="nil"/>
            </w:tcBorders>
          </w:tcPr>
          <w:p w14:paraId="55B391A3"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Organization-based self-esteem</w:t>
            </w:r>
          </w:p>
        </w:tc>
      </w:tr>
      <w:tr w:rsidR="003E5B95" w:rsidRPr="00DA5AC5" w14:paraId="1FE36085"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0CFC59F1"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Information</w:t>
            </w:r>
          </w:p>
        </w:tc>
        <w:tc>
          <w:tcPr>
            <w:tcW w:w="4675" w:type="dxa"/>
            <w:tcBorders>
              <w:right w:val="nil"/>
            </w:tcBorders>
          </w:tcPr>
          <w:p w14:paraId="48131A43"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Regulatory focus (prevention and promotion focus</w:t>
            </w:r>
          </w:p>
        </w:tc>
      </w:tr>
      <w:tr w:rsidR="003E5B95" w:rsidRPr="00DA5AC5" w14:paraId="07FF168F"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0FAA288"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Innovative climate</w:t>
            </w:r>
          </w:p>
        </w:tc>
        <w:tc>
          <w:tcPr>
            <w:tcW w:w="4675" w:type="dxa"/>
            <w:tcBorders>
              <w:right w:val="nil"/>
            </w:tcBorders>
          </w:tcPr>
          <w:p w14:paraId="5A3A41E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Resiliency</w:t>
            </w:r>
          </w:p>
        </w:tc>
      </w:tr>
      <w:tr w:rsidR="003E5B95" w:rsidRPr="00DA5AC5" w14:paraId="496DB84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011250B"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Job challenge</w:t>
            </w:r>
          </w:p>
        </w:tc>
        <w:tc>
          <w:tcPr>
            <w:tcW w:w="4675" w:type="dxa"/>
            <w:tcBorders>
              <w:right w:val="nil"/>
            </w:tcBorders>
          </w:tcPr>
          <w:p w14:paraId="0CC70093"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Self-efficacy</w:t>
            </w:r>
          </w:p>
        </w:tc>
      </w:tr>
      <w:tr w:rsidR="003E5B95" w:rsidRPr="00DA5AC5" w14:paraId="1F55B2E6"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11427FF1"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Knowledge</w:t>
            </w:r>
          </w:p>
        </w:tc>
        <w:tc>
          <w:tcPr>
            <w:tcW w:w="4675" w:type="dxa"/>
            <w:tcBorders>
              <w:right w:val="nil"/>
            </w:tcBorders>
          </w:tcPr>
          <w:p w14:paraId="3F32EA5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r w:rsidRPr="00EE2B4F">
              <w:rPr>
                <w:rFonts w:cs="Times New Roman"/>
                <w:kern w:val="0"/>
                <w:szCs w:val="24"/>
                <w:lang w:eastAsia="en-US"/>
              </w:rPr>
              <w:t>Value orientation (intrinsic and extrinsic)</w:t>
            </w:r>
          </w:p>
        </w:tc>
      </w:tr>
      <w:tr w:rsidR="003E5B95" w:rsidRPr="00DA5AC5" w14:paraId="0E6FD2D1"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35BCF57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Leadership</w:t>
            </w:r>
          </w:p>
        </w:tc>
        <w:tc>
          <w:tcPr>
            <w:tcW w:w="4675" w:type="dxa"/>
            <w:tcBorders>
              <w:right w:val="nil"/>
            </w:tcBorders>
          </w:tcPr>
          <w:p w14:paraId="2D220D9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120637E7"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2F74C8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Opportunities for personal development</w:t>
            </w:r>
          </w:p>
        </w:tc>
        <w:tc>
          <w:tcPr>
            <w:tcW w:w="4675" w:type="dxa"/>
            <w:tcBorders>
              <w:right w:val="nil"/>
            </w:tcBorders>
          </w:tcPr>
          <w:p w14:paraId="1440B90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4A742CEA"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139B58E9"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Participation in decision making</w:t>
            </w:r>
          </w:p>
        </w:tc>
        <w:tc>
          <w:tcPr>
            <w:tcW w:w="4675" w:type="dxa"/>
            <w:tcBorders>
              <w:right w:val="nil"/>
            </w:tcBorders>
          </w:tcPr>
          <w:p w14:paraId="49AE9AC4"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5C977FE2"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5EBF36F"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Performance feedback</w:t>
            </w:r>
          </w:p>
        </w:tc>
        <w:tc>
          <w:tcPr>
            <w:tcW w:w="4675" w:type="dxa"/>
            <w:tcBorders>
              <w:right w:val="nil"/>
            </w:tcBorders>
          </w:tcPr>
          <w:p w14:paraId="27E6CEC7"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79E1F02E"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3B11E7E7"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Positive spillover from family to work</w:t>
            </w:r>
          </w:p>
        </w:tc>
        <w:tc>
          <w:tcPr>
            <w:tcW w:w="4675" w:type="dxa"/>
            <w:tcBorders>
              <w:right w:val="nil"/>
            </w:tcBorders>
          </w:tcPr>
          <w:p w14:paraId="38FA6AD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1798B8E1"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BC7FD6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Professional pride</w:t>
            </w:r>
          </w:p>
        </w:tc>
        <w:tc>
          <w:tcPr>
            <w:tcW w:w="4675" w:type="dxa"/>
            <w:tcBorders>
              <w:right w:val="nil"/>
            </w:tcBorders>
          </w:tcPr>
          <w:p w14:paraId="72508F5C"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60C4AA7A"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58F95E56"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Procedural fairness</w:t>
            </w:r>
          </w:p>
        </w:tc>
        <w:tc>
          <w:tcPr>
            <w:tcW w:w="4675" w:type="dxa"/>
            <w:tcBorders>
              <w:right w:val="nil"/>
            </w:tcBorders>
          </w:tcPr>
          <w:p w14:paraId="71A4F7D5"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3EBE9918"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3CCED26"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Positive employee contacts</w:t>
            </w:r>
          </w:p>
        </w:tc>
        <w:tc>
          <w:tcPr>
            <w:tcW w:w="4675" w:type="dxa"/>
            <w:tcBorders>
              <w:right w:val="nil"/>
            </w:tcBorders>
          </w:tcPr>
          <w:p w14:paraId="17B2BB0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7CFF4823"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3104107A"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Quality of relationship with supervisor</w:t>
            </w:r>
          </w:p>
        </w:tc>
        <w:tc>
          <w:tcPr>
            <w:tcW w:w="4675" w:type="dxa"/>
            <w:tcBorders>
              <w:right w:val="nil"/>
            </w:tcBorders>
          </w:tcPr>
          <w:p w14:paraId="03F8DB3C"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4D61F221"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87F6185"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Safety climate</w:t>
            </w:r>
          </w:p>
        </w:tc>
        <w:tc>
          <w:tcPr>
            <w:tcW w:w="4675" w:type="dxa"/>
            <w:tcBorders>
              <w:right w:val="nil"/>
            </w:tcBorders>
          </w:tcPr>
          <w:p w14:paraId="79CD206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5007AA73"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4192B1A2"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Organizational climate</w:t>
            </w:r>
          </w:p>
        </w:tc>
        <w:tc>
          <w:tcPr>
            <w:tcW w:w="4675" w:type="dxa"/>
            <w:tcBorders>
              <w:right w:val="nil"/>
            </w:tcBorders>
          </w:tcPr>
          <w:p w14:paraId="33B55EEE"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636F5782"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5122DD6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Social support from colleagues</w:t>
            </w:r>
          </w:p>
        </w:tc>
        <w:tc>
          <w:tcPr>
            <w:tcW w:w="4675" w:type="dxa"/>
            <w:tcBorders>
              <w:right w:val="nil"/>
            </w:tcBorders>
          </w:tcPr>
          <w:p w14:paraId="4193F01D"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031BBA14"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417D014D" w14:textId="2FE69E08"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Social support from </w:t>
            </w:r>
            <w:r w:rsidR="00700C32">
              <w:rPr>
                <w:rFonts w:cs="Times New Roman"/>
                <w:b w:val="0"/>
                <w:bCs w:val="0"/>
                <w:kern w:val="0"/>
                <w:szCs w:val="24"/>
                <w:lang w:eastAsia="en-US"/>
              </w:rPr>
              <w:t xml:space="preserve">a </w:t>
            </w:r>
            <w:r w:rsidRPr="00EE2B4F">
              <w:rPr>
                <w:rFonts w:cs="Times New Roman"/>
                <w:b w:val="0"/>
                <w:bCs w:val="0"/>
                <w:kern w:val="0"/>
                <w:szCs w:val="24"/>
                <w:lang w:eastAsia="en-US"/>
              </w:rPr>
              <w:t>supervisor</w:t>
            </w:r>
          </w:p>
        </w:tc>
        <w:tc>
          <w:tcPr>
            <w:tcW w:w="4675" w:type="dxa"/>
            <w:tcBorders>
              <w:right w:val="nil"/>
            </w:tcBorders>
          </w:tcPr>
          <w:p w14:paraId="73A7B01A"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35074E1E"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59BE42A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lastRenderedPageBreak/>
              <w:t xml:space="preserve">Skill utilization </w:t>
            </w:r>
          </w:p>
        </w:tc>
        <w:tc>
          <w:tcPr>
            <w:tcW w:w="4675" w:type="dxa"/>
            <w:tcBorders>
              <w:right w:val="nil"/>
            </w:tcBorders>
          </w:tcPr>
          <w:p w14:paraId="730F8251"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2D75FDEC"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44CB5E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Strategic planning</w:t>
            </w:r>
          </w:p>
        </w:tc>
        <w:tc>
          <w:tcPr>
            <w:tcW w:w="4675" w:type="dxa"/>
            <w:tcBorders>
              <w:right w:val="nil"/>
            </w:tcBorders>
          </w:tcPr>
          <w:p w14:paraId="3DEC4DEB"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47143D67"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229B208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Supervisory coaching </w:t>
            </w:r>
          </w:p>
        </w:tc>
        <w:tc>
          <w:tcPr>
            <w:tcW w:w="4675" w:type="dxa"/>
            <w:tcBorders>
              <w:right w:val="nil"/>
            </w:tcBorders>
          </w:tcPr>
          <w:p w14:paraId="343A9934"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0168CE58"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E846644"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Task variety </w:t>
            </w:r>
          </w:p>
        </w:tc>
        <w:tc>
          <w:tcPr>
            <w:tcW w:w="4675" w:type="dxa"/>
            <w:tcBorders>
              <w:right w:val="nil"/>
            </w:tcBorders>
          </w:tcPr>
          <w:p w14:paraId="6854345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236D0EFC"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2CC0A630"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Team cohesion</w:t>
            </w:r>
          </w:p>
        </w:tc>
        <w:tc>
          <w:tcPr>
            <w:tcW w:w="4675" w:type="dxa"/>
            <w:tcBorders>
              <w:right w:val="nil"/>
            </w:tcBorders>
          </w:tcPr>
          <w:p w14:paraId="75B45D52"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142F7CA9"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29E4A2E7"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Team harmony</w:t>
            </w:r>
          </w:p>
        </w:tc>
        <w:tc>
          <w:tcPr>
            <w:tcW w:w="4675" w:type="dxa"/>
            <w:tcBorders>
              <w:right w:val="nil"/>
            </w:tcBorders>
          </w:tcPr>
          <w:p w14:paraId="434A4B17"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723B3C50"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Pr>
          <w:p w14:paraId="7CCE27EC"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 xml:space="preserve">Trust in management </w:t>
            </w:r>
          </w:p>
        </w:tc>
        <w:tc>
          <w:tcPr>
            <w:tcW w:w="4675" w:type="dxa"/>
            <w:tcBorders>
              <w:right w:val="nil"/>
            </w:tcBorders>
          </w:tcPr>
          <w:p w14:paraId="0BDE8259"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r w:rsidR="003E5B95" w:rsidRPr="00DA5AC5" w14:paraId="2C22B21C" w14:textId="77777777" w:rsidTr="003E5B95">
        <w:trPr>
          <w:cnfStyle w:val="000000100000" w:firstRow="0" w:lastRow="0" w:firstColumn="0" w:lastColumn="0" w:oddVBand="0" w:evenVBand="0" w:oddHBand="1" w:evenHBand="0" w:firstRowFirstColumn="0" w:firstRowLastColumn="0" w:lastRowFirstColumn="0" w:lastRowLastColumn="0"/>
          <w:trHeight w:val="216"/>
        </w:trPr>
        <w:tc>
          <w:tcPr>
            <w:cnfStyle w:val="001000000000" w:firstRow="0" w:lastRow="0" w:firstColumn="1" w:lastColumn="0" w:oddVBand="0" w:evenVBand="0" w:oddHBand="0" w:evenHBand="0" w:firstRowFirstColumn="0" w:firstRowLastColumn="0" w:lastRowFirstColumn="0" w:lastRowLastColumn="0"/>
            <w:tcW w:w="4675" w:type="dxa"/>
          </w:tcPr>
          <w:p w14:paraId="6585BACD"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Psychological strain</w:t>
            </w:r>
          </w:p>
        </w:tc>
        <w:tc>
          <w:tcPr>
            <w:tcW w:w="4675" w:type="dxa"/>
            <w:tcBorders>
              <w:right w:val="nil"/>
            </w:tcBorders>
          </w:tcPr>
          <w:p w14:paraId="565C407C" w14:textId="77777777" w:rsidR="003E5B95" w:rsidRPr="00EE2B4F" w:rsidRDefault="003E5B95" w:rsidP="003E5B95">
            <w:pPr>
              <w:spacing w:after="100" w:line="360" w:lineRule="auto"/>
              <w:ind w:left="220" w:firstLine="0"/>
              <w:contextualSpacing w:val="0"/>
              <w:cnfStyle w:val="000000100000" w:firstRow="0" w:lastRow="0" w:firstColumn="0" w:lastColumn="0" w:oddVBand="0" w:evenVBand="0" w:oddHBand="1" w:evenHBand="0" w:firstRowFirstColumn="0" w:firstRowLastColumn="0" w:lastRowFirstColumn="0" w:lastRowLastColumn="0"/>
              <w:rPr>
                <w:rFonts w:cs="Times New Roman"/>
                <w:kern w:val="0"/>
                <w:szCs w:val="24"/>
                <w:lang w:eastAsia="en-US"/>
              </w:rPr>
            </w:pPr>
          </w:p>
        </w:tc>
      </w:tr>
      <w:tr w:rsidR="003E5B95" w:rsidRPr="00DA5AC5" w14:paraId="226676C1" w14:textId="77777777" w:rsidTr="003E5B95">
        <w:trPr>
          <w:trHeight w:val="216"/>
        </w:trPr>
        <w:tc>
          <w:tcPr>
            <w:cnfStyle w:val="001000000000" w:firstRow="0" w:lastRow="0" w:firstColumn="1" w:lastColumn="0" w:oddVBand="0" w:evenVBand="0" w:oddHBand="0" w:evenHBand="0" w:firstRowFirstColumn="0" w:firstRowLastColumn="0" w:lastRowFirstColumn="0" w:lastRowLastColumn="0"/>
            <w:tcW w:w="4675" w:type="dxa"/>
            <w:tcBorders>
              <w:bottom w:val="single" w:sz="4" w:space="0" w:color="auto"/>
            </w:tcBorders>
          </w:tcPr>
          <w:p w14:paraId="4A17A693" w14:textId="77777777" w:rsidR="003E5B95" w:rsidRPr="00EE2B4F" w:rsidRDefault="003E5B95" w:rsidP="003E5B95">
            <w:pPr>
              <w:spacing w:after="100" w:line="360" w:lineRule="auto"/>
              <w:ind w:left="220" w:firstLine="0"/>
              <w:contextualSpacing w:val="0"/>
              <w:rPr>
                <w:rFonts w:cs="Times New Roman"/>
                <w:b w:val="0"/>
                <w:bCs w:val="0"/>
                <w:kern w:val="0"/>
                <w:szCs w:val="24"/>
                <w:lang w:eastAsia="en-US"/>
              </w:rPr>
            </w:pPr>
            <w:r w:rsidRPr="00EE2B4F">
              <w:rPr>
                <w:rFonts w:cs="Times New Roman"/>
                <w:b w:val="0"/>
                <w:bCs w:val="0"/>
                <w:kern w:val="0"/>
                <w:szCs w:val="24"/>
                <w:lang w:eastAsia="en-US"/>
              </w:rPr>
              <w:t>Turnover intention</w:t>
            </w:r>
          </w:p>
        </w:tc>
        <w:tc>
          <w:tcPr>
            <w:tcW w:w="4675" w:type="dxa"/>
            <w:tcBorders>
              <w:bottom w:val="single" w:sz="4" w:space="0" w:color="auto"/>
              <w:right w:val="nil"/>
            </w:tcBorders>
          </w:tcPr>
          <w:p w14:paraId="085E3D68" w14:textId="77777777" w:rsidR="003E5B95" w:rsidRPr="00EE2B4F" w:rsidRDefault="003E5B95" w:rsidP="003E5B95">
            <w:pPr>
              <w:spacing w:after="100" w:line="360" w:lineRule="auto"/>
              <w:ind w:left="220" w:firstLine="0"/>
              <w:contextualSpacing w:val="0"/>
              <w:cnfStyle w:val="000000000000" w:firstRow="0" w:lastRow="0" w:firstColumn="0" w:lastColumn="0" w:oddVBand="0" w:evenVBand="0" w:oddHBand="0" w:evenHBand="0" w:firstRowFirstColumn="0" w:firstRowLastColumn="0" w:lastRowFirstColumn="0" w:lastRowLastColumn="0"/>
              <w:rPr>
                <w:rFonts w:cs="Times New Roman"/>
                <w:kern w:val="0"/>
                <w:szCs w:val="24"/>
                <w:lang w:eastAsia="en-US"/>
              </w:rPr>
            </w:pPr>
          </w:p>
        </w:tc>
      </w:tr>
    </w:tbl>
    <w:p w14:paraId="6C98E865" w14:textId="77777777" w:rsidR="003E5B95" w:rsidRPr="00DA5AC5" w:rsidRDefault="003E5B95" w:rsidP="003E5B95">
      <w:pPr>
        <w:spacing w:after="160"/>
        <w:ind w:firstLine="0"/>
        <w:contextualSpacing w:val="0"/>
        <w:rPr>
          <w:rFonts w:cs="Times New Roman"/>
          <w:kern w:val="0"/>
          <w:szCs w:val="24"/>
          <w:lang w:eastAsia="en-US"/>
        </w:rPr>
      </w:pPr>
    </w:p>
    <w:p w14:paraId="41184C66" w14:textId="77777777" w:rsidR="003E5B95" w:rsidRDefault="003E5B95" w:rsidP="003E5B95">
      <w:pPr>
        <w:spacing w:after="160" w:line="259" w:lineRule="auto"/>
        <w:ind w:firstLine="0"/>
        <w:contextualSpacing w:val="0"/>
        <w:rPr>
          <w:rFonts w:asciiTheme="minorHAnsi" w:hAnsiTheme="minorHAnsi"/>
          <w:kern w:val="0"/>
          <w:sz w:val="22"/>
          <w:szCs w:val="22"/>
          <w:lang w:eastAsia="en-US"/>
        </w:rPr>
        <w:sectPr w:rsidR="003E5B95" w:rsidSect="00DF56B1">
          <w:footerReference w:type="default" r:id="rId23"/>
          <w:footerReference w:type="first" r:id="rId24"/>
          <w:pgSz w:w="12240" w:h="15840"/>
          <w:pgMar w:top="1440" w:right="1440" w:bottom="1440" w:left="1440" w:header="720" w:footer="720" w:gutter="0"/>
          <w:cols w:space="720"/>
          <w:titlePg/>
          <w:docGrid w:linePitch="360"/>
        </w:sectPr>
      </w:pPr>
    </w:p>
    <w:p w14:paraId="5C37B97F" w14:textId="77777777" w:rsidR="003E5B95" w:rsidRPr="00FF336A" w:rsidRDefault="003E5B95" w:rsidP="003E5B95">
      <w:pPr>
        <w:pStyle w:val="Heading1"/>
        <w:rPr>
          <w:b/>
          <w:bCs/>
          <w:lang w:eastAsia="en-US"/>
        </w:rPr>
      </w:pPr>
      <w:r w:rsidRPr="00FF336A">
        <w:rPr>
          <w:b/>
          <w:bCs/>
          <w:lang w:eastAsia="en-US"/>
        </w:rPr>
        <w:lastRenderedPageBreak/>
        <w:t xml:space="preserve"> </w:t>
      </w:r>
      <w:bookmarkStart w:id="385" w:name="_Toc74045289"/>
      <w:bookmarkStart w:id="386" w:name="_Toc74087575"/>
      <w:bookmarkStart w:id="387" w:name="_Toc74258691"/>
      <w:r w:rsidRPr="00FF336A">
        <w:rPr>
          <w:b/>
          <w:bCs/>
          <w:lang w:eastAsia="en-US"/>
        </w:rPr>
        <w:t>CONCLUSION</w:t>
      </w:r>
      <w:bookmarkEnd w:id="385"/>
      <w:bookmarkEnd w:id="386"/>
      <w:bookmarkEnd w:id="387"/>
    </w:p>
    <w:p w14:paraId="60D4322C" w14:textId="53311138" w:rsidR="003E5B95" w:rsidRPr="006501FE" w:rsidRDefault="003E5B95" w:rsidP="003E5B95">
      <w:pPr>
        <w:spacing w:after="160"/>
        <w:contextualSpacing w:val="0"/>
        <w:rPr>
          <w:rFonts w:cs="Times New Roman"/>
          <w:kern w:val="0"/>
          <w:szCs w:val="24"/>
          <w:lang w:eastAsia="en-US"/>
        </w:rPr>
      </w:pPr>
      <w:r w:rsidRPr="006501FE">
        <w:rPr>
          <w:rFonts w:cs="Times New Roman"/>
          <w:kern w:val="0"/>
          <w:szCs w:val="24"/>
          <w:lang w:eastAsia="en-US"/>
        </w:rPr>
        <w:t>Stress is a common experience for those that engage in information security (InfoSec) related activities. To date, most of the attention on stress in this space by information systems (IS) scholars has been on the information technology (IT) users</w:t>
      </w:r>
      <w:r w:rsidR="00700C32">
        <w:rPr>
          <w:rFonts w:cs="Times New Roman"/>
          <w:kern w:val="0"/>
          <w:szCs w:val="24"/>
          <w:lang w:eastAsia="en-US"/>
        </w:rPr>
        <w:t xml:space="preserve">, </w:t>
      </w:r>
      <w:r w:rsidRPr="006501FE">
        <w:rPr>
          <w:rFonts w:cs="Times New Roman"/>
          <w:kern w:val="0"/>
          <w:szCs w:val="24"/>
          <w:lang w:eastAsia="en-US"/>
        </w:rPr>
        <w:t xml:space="preserve">and the stressful impact InfoSec-related technology, processes, and procedures can have on them. In this two-essay dissertation, we explored a segment of the InfoSec practice community that has gone relatively unnoticed, cybersecurity professionals, and accomplished </w:t>
      </w:r>
      <w:r w:rsidRPr="006501FE">
        <w:rPr>
          <w:rFonts w:cs="Times New Roman"/>
          <w:szCs w:val="24"/>
        </w:rPr>
        <w:t xml:space="preserve">two broad goals. First, </w:t>
      </w:r>
      <w:r w:rsidRPr="006501FE">
        <w:rPr>
          <w:rFonts w:cs="Times New Roman"/>
          <w:kern w:val="0"/>
          <w:szCs w:val="24"/>
          <w:lang w:eastAsia="en-US"/>
        </w:rPr>
        <w:t xml:space="preserve">a literature review provided in the first essay allowed us to understand the state of stress research in IS and its associated disciplines as it relates to the cybersecurity profession. In this essay, we identified several gaps in our understanding of stress among cybersecurity professionals and provided an associated set of opportunities for future research. </w:t>
      </w:r>
      <w:r w:rsidRPr="006501FE">
        <w:rPr>
          <w:rFonts w:cs="Times New Roman"/>
          <w:szCs w:val="24"/>
        </w:rPr>
        <w:t>Second,</w:t>
      </w:r>
      <w:r w:rsidRPr="006501FE">
        <w:rPr>
          <w:rFonts w:cs="Times New Roman"/>
          <w:kern w:val="0"/>
          <w:szCs w:val="24"/>
          <w:lang w:eastAsia="en-US"/>
        </w:rPr>
        <w:t xml:space="preserve"> in essay two, we took up one of those opportunities, where the extant stress literature had not fully established the demand appraisal process that individuals engage in when assessing stress as a product of technology and/or security-related activities. In doing so, we created and tested a demand appraisal model that provide</w:t>
      </w:r>
      <w:r w:rsidR="00700C32">
        <w:rPr>
          <w:rFonts w:cs="Times New Roman"/>
          <w:kern w:val="0"/>
          <w:szCs w:val="24"/>
          <w:lang w:eastAsia="en-US"/>
        </w:rPr>
        <w:t>d</w:t>
      </w:r>
      <w:r w:rsidRPr="006501FE">
        <w:rPr>
          <w:rFonts w:cs="Times New Roman"/>
          <w:kern w:val="0"/>
          <w:szCs w:val="24"/>
          <w:lang w:eastAsia="en-US"/>
        </w:rPr>
        <w:t xml:space="preserve"> a more holistic approach for understanding the overall stress process and showed that, while cybersecurity professionals implement and/or maintain electronic monitoring and surveillance (EMS) technologies for their organizations, they experience varying levels of challenge and hindrance stress and savor the challenge stress and cope with the hindrance stress, accordingly. </w:t>
      </w:r>
    </w:p>
    <w:p w14:paraId="4795B78C" w14:textId="77777777" w:rsidR="003E5B95" w:rsidRPr="006501FE" w:rsidRDefault="003E5B95" w:rsidP="003E5B95">
      <w:pPr>
        <w:contextualSpacing w:val="0"/>
        <w:rPr>
          <w:rFonts w:cs="Times New Roman"/>
          <w:bCs/>
          <w:kern w:val="0"/>
          <w:szCs w:val="24"/>
          <w:lang w:eastAsia="en-US"/>
        </w:rPr>
      </w:pPr>
    </w:p>
    <w:p w14:paraId="55AF4F79" w14:textId="77777777" w:rsidR="003E5B95" w:rsidRDefault="003E5B95" w:rsidP="003E5B95">
      <w:pPr>
        <w:ind w:firstLine="0"/>
      </w:pPr>
      <w:r>
        <w:br w:type="page"/>
      </w:r>
    </w:p>
    <w:p w14:paraId="4188B816" w14:textId="77777777" w:rsidR="003E5B95" w:rsidRDefault="003E5B95" w:rsidP="003E5B95">
      <w:pPr>
        <w:pStyle w:val="Heading1"/>
      </w:pPr>
      <w:bookmarkStart w:id="388" w:name="_Toc74045290"/>
      <w:bookmarkStart w:id="389" w:name="_Toc74087576"/>
      <w:bookmarkStart w:id="390" w:name="_Toc74258692"/>
      <w:r>
        <w:lastRenderedPageBreak/>
        <w:t>APPENDIX</w:t>
      </w:r>
      <w:bookmarkEnd w:id="388"/>
      <w:bookmarkEnd w:id="389"/>
      <w:bookmarkEnd w:id="390"/>
    </w:p>
    <w:p w14:paraId="350B09BF" w14:textId="51767CE3" w:rsidR="003E5B95" w:rsidRDefault="006D4DA0" w:rsidP="003E5B95">
      <w:pPr>
        <w:jc w:val="center"/>
      </w:pPr>
      <w:r>
        <w:rPr>
          <w:noProof/>
          <w:lang w:eastAsia="en-US"/>
        </w:rPr>
        <w:drawing>
          <wp:inline distT="0" distB="0" distL="0" distR="0" wp14:anchorId="18549250" wp14:editId="02C81912">
            <wp:extent cx="5876925" cy="5913755"/>
            <wp:effectExtent l="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76925" cy="5913755"/>
                    </a:xfrm>
                    <a:prstGeom prst="rect">
                      <a:avLst/>
                    </a:prstGeom>
                    <a:noFill/>
                  </pic:spPr>
                </pic:pic>
              </a:graphicData>
            </a:graphic>
          </wp:inline>
        </w:drawing>
      </w:r>
    </w:p>
    <w:p w14:paraId="0381B17E" w14:textId="6A1AAC92" w:rsidR="003E5B95" w:rsidRDefault="003E5B95" w:rsidP="003E5B95">
      <w:pPr>
        <w:jc w:val="center"/>
      </w:pPr>
      <w:r>
        <w:rPr>
          <w:noProof/>
          <w:lang w:eastAsia="en-US"/>
        </w:rPr>
        <w:lastRenderedPageBreak/>
        <w:drawing>
          <wp:inline distT="0" distB="0" distL="0" distR="0" wp14:anchorId="799146E9" wp14:editId="1C5B4ABD">
            <wp:extent cx="5699760" cy="5356860"/>
            <wp:effectExtent l="0" t="0" r="0" b="0"/>
            <wp:docPr id="14" name="Picture 14" descr="Text, let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Text, letter&#10;&#10;Description automatically generated"/>
                    <pic:cNvPicPr/>
                  </pic:nvPicPr>
                  <pic:blipFill rotWithShape="1">
                    <a:blip r:embed="rId26">
                      <a:extLst>
                        <a:ext uri="{28A0092B-C50C-407E-A947-70E740481C1C}">
                          <a14:useLocalDpi xmlns:a14="http://schemas.microsoft.com/office/drawing/2010/main" val="0"/>
                        </a:ext>
                      </a:extLst>
                    </a:blip>
                    <a:srcRect r="2604" b="20114"/>
                    <a:stretch/>
                  </pic:blipFill>
                  <pic:spPr bwMode="auto">
                    <a:xfrm>
                      <a:off x="0" y="0"/>
                      <a:ext cx="5699760" cy="5356860"/>
                    </a:xfrm>
                    <a:prstGeom prst="rect">
                      <a:avLst/>
                    </a:prstGeom>
                    <a:ln>
                      <a:noFill/>
                    </a:ln>
                    <a:effectLst>
                      <a:softEdge rad="112500"/>
                    </a:effectLst>
                    <a:extLst>
                      <a:ext uri="{53640926-AAD7-44D8-BBD7-CCE9431645EC}">
                        <a14:shadowObscured xmlns:a14="http://schemas.microsoft.com/office/drawing/2010/main"/>
                      </a:ext>
                    </a:extLst>
                  </pic:spPr>
                </pic:pic>
              </a:graphicData>
            </a:graphic>
          </wp:inline>
        </w:drawing>
      </w:r>
      <w:r>
        <w:fldChar w:fldCharType="begin"/>
      </w:r>
      <w:r>
        <w:instrText xml:space="preserve"> ADDIN </w:instrText>
      </w:r>
      <w:r>
        <w:fldChar w:fldCharType="end"/>
      </w:r>
    </w:p>
    <w:p w14:paraId="2182DEBB" w14:textId="429009AE" w:rsidR="003E5B95" w:rsidRDefault="003E5B95"/>
    <w:sectPr w:rsidR="003E5B95" w:rsidSect="00DF56B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4A7779" w14:textId="77777777" w:rsidR="007C43F5" w:rsidRDefault="007C43F5" w:rsidP="003E5B95">
      <w:pPr>
        <w:spacing w:line="240" w:lineRule="auto"/>
      </w:pPr>
      <w:r>
        <w:separator/>
      </w:r>
    </w:p>
  </w:endnote>
  <w:endnote w:type="continuationSeparator" w:id="0">
    <w:p w14:paraId="6AFDF679" w14:textId="77777777" w:rsidR="007C43F5" w:rsidRDefault="007C43F5" w:rsidP="003E5B9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1D92B87E-5C6B-4F68-974F-268480731F1F}"/>
    <w:embedBold r:id="rId2" w:fontKey="{D1528547-F20A-41A2-B37F-0B7DFAAC3533}"/>
    <w:embedItalic r:id="rId3" w:fontKey="{753938F2-7C21-4E7C-BD97-76487DA37CA5}"/>
    <w:embedBoldItalic r:id="rId4" w:fontKey="{195B6723-C279-4A49-A8AF-3E8ED592043C}"/>
  </w:font>
  <w:font w:name="Calibri Light">
    <w:panose1 w:val="020F0302020204030204"/>
    <w:charset w:val="00"/>
    <w:family w:val="swiss"/>
    <w:pitch w:val="variable"/>
    <w:sig w:usb0="E4002EFF" w:usb1="C000247B" w:usb2="00000009" w:usb3="00000000" w:csb0="000001FF" w:csb1="00000000"/>
    <w:embedRegular r:id="rId5" w:fontKey="{395B3E26-5846-4F37-AF6E-9A5136E4EB21}"/>
    <w:embedBold r:id="rId6" w:fontKey="{F9C29F22-7C98-4A22-A628-7BE84523AA24}"/>
    <w:embedItalic r:id="rId7" w:fontKey="{E9A45924-C622-432E-B1EA-C7A032829E29}"/>
  </w:font>
  <w:font w:name="Georgia">
    <w:panose1 w:val="02040502050405020303"/>
    <w:charset w:val="00"/>
    <w:family w:val="roman"/>
    <w:pitch w:val="variable"/>
    <w:sig w:usb0="00000287" w:usb1="00000000" w:usb2="00000000" w:usb3="00000000" w:csb0="0000009F" w:csb1="00000000"/>
    <w:embedRegular r:id="rId8" w:fontKey="{E464642C-C31D-45E9-972F-B4CD87B6BA54}"/>
  </w:font>
  <w:font w:name="Segoe UI">
    <w:panose1 w:val="020B0502040204020203"/>
    <w:charset w:val="00"/>
    <w:family w:val="swiss"/>
    <w:pitch w:val="variable"/>
    <w:sig w:usb0="E4002EFF" w:usb1="C000E47F" w:usb2="00000009" w:usb3="00000000" w:csb0="000001FF" w:csb1="00000000"/>
    <w:embedRegular r:id="rId9" w:fontKey="{92F3A701-02C7-4768-B46E-8380AFE8AC6F}"/>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19086933"/>
      <w:docPartObj>
        <w:docPartGallery w:val="Page Numbers (Bottom of Page)"/>
        <w:docPartUnique/>
      </w:docPartObj>
    </w:sdtPr>
    <w:sdtEndPr>
      <w:rPr>
        <w:noProof/>
      </w:rPr>
    </w:sdtEndPr>
    <w:sdtContent>
      <w:p w14:paraId="3B40F1F3" w14:textId="780D7EB3" w:rsidR="00B46A8E" w:rsidRDefault="00B46A8E">
        <w:pPr>
          <w:pStyle w:val="Footer"/>
          <w:jc w:val="center"/>
        </w:pPr>
        <w:r>
          <w:fldChar w:fldCharType="begin"/>
        </w:r>
        <w:r>
          <w:instrText xml:space="preserve"> PAGE   \* MERGEFORMAT </w:instrText>
        </w:r>
        <w:r>
          <w:fldChar w:fldCharType="separate"/>
        </w:r>
        <w:r>
          <w:rPr>
            <w:noProof/>
          </w:rPr>
          <w:t>xvi</w:t>
        </w:r>
        <w:r>
          <w:rPr>
            <w:noProof/>
          </w:rPr>
          <w:fldChar w:fldCharType="end"/>
        </w:r>
      </w:p>
    </w:sdtContent>
  </w:sdt>
  <w:p w14:paraId="6D73C887" w14:textId="77777777" w:rsidR="00B46A8E" w:rsidRDefault="00B46A8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4693169"/>
      <w:docPartObj>
        <w:docPartGallery w:val="Page Numbers (Bottom of Page)"/>
        <w:docPartUnique/>
      </w:docPartObj>
    </w:sdtPr>
    <w:sdtEndPr>
      <w:rPr>
        <w:noProof/>
      </w:rPr>
    </w:sdtEndPr>
    <w:sdtContent>
      <w:p w14:paraId="4BD0AEA2" w14:textId="7FBA4656" w:rsidR="00B46A8E" w:rsidRDefault="00B46A8E">
        <w:pPr>
          <w:pStyle w:val="Footer"/>
          <w:jc w:val="center"/>
        </w:pPr>
        <w:r>
          <w:fldChar w:fldCharType="begin"/>
        </w:r>
        <w:r>
          <w:instrText xml:space="preserve"> PAGE   \* MERGEFORMAT </w:instrText>
        </w:r>
        <w:r>
          <w:fldChar w:fldCharType="separate"/>
        </w:r>
        <w:r>
          <w:rPr>
            <w:noProof/>
          </w:rPr>
          <w:t>88</w:t>
        </w:r>
        <w:r>
          <w:rPr>
            <w:noProof/>
          </w:rPr>
          <w:fldChar w:fldCharType="end"/>
        </w:r>
      </w:p>
    </w:sdtContent>
  </w:sdt>
  <w:p w14:paraId="1FC867ED" w14:textId="77777777" w:rsidR="00B46A8E" w:rsidRDefault="00B46A8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23585729"/>
      <w:docPartObj>
        <w:docPartGallery w:val="Page Numbers (Bottom of Page)"/>
        <w:docPartUnique/>
      </w:docPartObj>
    </w:sdtPr>
    <w:sdtEndPr>
      <w:rPr>
        <w:noProof/>
      </w:rPr>
    </w:sdtEndPr>
    <w:sdtContent>
      <w:p w14:paraId="56D0FBE2" w14:textId="35E78954" w:rsidR="00B46A8E" w:rsidRDefault="00B46A8E">
        <w:pPr>
          <w:pStyle w:val="Footer"/>
          <w:jc w:val="center"/>
        </w:pPr>
        <w:r>
          <w:fldChar w:fldCharType="begin"/>
        </w:r>
        <w:r>
          <w:instrText xml:space="preserve"> PAGE   \* MERGEFORMAT </w:instrText>
        </w:r>
        <w:r>
          <w:fldChar w:fldCharType="separate"/>
        </w:r>
        <w:r>
          <w:rPr>
            <w:noProof/>
          </w:rPr>
          <w:t>109</w:t>
        </w:r>
        <w:r>
          <w:rPr>
            <w:noProof/>
          </w:rPr>
          <w:fldChar w:fldCharType="end"/>
        </w:r>
      </w:p>
    </w:sdtContent>
  </w:sdt>
  <w:p w14:paraId="2A5BFB8C" w14:textId="77777777" w:rsidR="00B46A8E" w:rsidRDefault="00B46A8E">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585001731"/>
      <w:docPartObj>
        <w:docPartGallery w:val="Page Numbers (Bottom of Page)"/>
        <w:docPartUnique/>
      </w:docPartObj>
    </w:sdtPr>
    <w:sdtEndPr>
      <w:rPr>
        <w:noProof/>
      </w:rPr>
    </w:sdtEndPr>
    <w:sdtContent>
      <w:p w14:paraId="57E7329D" w14:textId="483379B4" w:rsidR="00B46A8E" w:rsidRDefault="00B46A8E">
        <w:pPr>
          <w:pStyle w:val="Footer"/>
          <w:jc w:val="center"/>
        </w:pPr>
        <w:r>
          <w:fldChar w:fldCharType="begin"/>
        </w:r>
        <w:r>
          <w:instrText xml:space="preserve"> PAGE   \* MERGEFORMAT </w:instrText>
        </w:r>
        <w:r>
          <w:fldChar w:fldCharType="separate"/>
        </w:r>
        <w:r>
          <w:rPr>
            <w:noProof/>
          </w:rPr>
          <w:t>198</w:t>
        </w:r>
        <w:r>
          <w:rPr>
            <w:noProof/>
          </w:rPr>
          <w:fldChar w:fldCharType="end"/>
        </w:r>
      </w:p>
    </w:sdtContent>
  </w:sdt>
  <w:p w14:paraId="5B8DA612" w14:textId="77777777" w:rsidR="00B46A8E" w:rsidRDefault="00B46A8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58779453"/>
      <w:docPartObj>
        <w:docPartGallery w:val="Page Numbers (Bottom of Page)"/>
        <w:docPartUnique/>
      </w:docPartObj>
    </w:sdtPr>
    <w:sdtEndPr>
      <w:rPr>
        <w:noProof/>
      </w:rPr>
    </w:sdtEndPr>
    <w:sdtContent>
      <w:p w14:paraId="4852D3D9" w14:textId="3BBE0FEF" w:rsidR="00B46A8E" w:rsidRDefault="00B46A8E">
        <w:pPr>
          <w:pStyle w:val="Footer"/>
          <w:jc w:val="center"/>
        </w:pPr>
        <w:r>
          <w:fldChar w:fldCharType="begin"/>
        </w:r>
        <w:r>
          <w:instrText xml:space="preserve"> PAGE   \* MERGEFORMAT </w:instrText>
        </w:r>
        <w:r>
          <w:fldChar w:fldCharType="separate"/>
        </w:r>
        <w:r>
          <w:rPr>
            <w:noProof/>
          </w:rPr>
          <w:t>231</w:t>
        </w:r>
        <w:r>
          <w:rPr>
            <w:noProof/>
          </w:rPr>
          <w:fldChar w:fldCharType="end"/>
        </w:r>
      </w:p>
    </w:sdtContent>
  </w:sdt>
  <w:p w14:paraId="2C95FCE8" w14:textId="77777777" w:rsidR="00B46A8E" w:rsidRDefault="00B46A8E">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26004088"/>
      <w:docPartObj>
        <w:docPartGallery w:val="Page Numbers (Bottom of Page)"/>
        <w:docPartUnique/>
      </w:docPartObj>
    </w:sdtPr>
    <w:sdtEndPr>
      <w:rPr>
        <w:noProof/>
      </w:rPr>
    </w:sdtEndPr>
    <w:sdtContent>
      <w:p w14:paraId="4AF497B6" w14:textId="5A730789" w:rsidR="00B46A8E" w:rsidRDefault="00B46A8E">
        <w:pPr>
          <w:pStyle w:val="Footer"/>
          <w:jc w:val="center"/>
        </w:pPr>
        <w:r>
          <w:fldChar w:fldCharType="begin"/>
        </w:r>
        <w:r>
          <w:instrText xml:space="preserve"> PAGE   \* MERGEFORMAT </w:instrText>
        </w:r>
        <w:r>
          <w:fldChar w:fldCharType="separate"/>
        </w:r>
        <w:r>
          <w:rPr>
            <w:noProof/>
          </w:rPr>
          <w:t>199</w:t>
        </w:r>
        <w:r>
          <w:rPr>
            <w:noProof/>
          </w:rPr>
          <w:fldChar w:fldCharType="end"/>
        </w:r>
      </w:p>
    </w:sdtContent>
  </w:sdt>
  <w:p w14:paraId="246D103D" w14:textId="77777777" w:rsidR="00B46A8E" w:rsidRDefault="00B46A8E">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91252438"/>
      <w:docPartObj>
        <w:docPartGallery w:val="Page Numbers (Bottom of Page)"/>
        <w:docPartUnique/>
      </w:docPartObj>
    </w:sdtPr>
    <w:sdtEndPr>
      <w:rPr>
        <w:noProof/>
      </w:rPr>
    </w:sdtEndPr>
    <w:sdtContent>
      <w:p w14:paraId="4094F130" w14:textId="7AF1C75F" w:rsidR="00B46A8E" w:rsidRDefault="00B46A8E">
        <w:pPr>
          <w:pStyle w:val="Footer"/>
          <w:jc w:val="center"/>
        </w:pPr>
        <w:r>
          <w:fldChar w:fldCharType="begin"/>
        </w:r>
        <w:r>
          <w:instrText xml:space="preserve"> PAGE   \* MERGEFORMAT </w:instrText>
        </w:r>
        <w:r>
          <w:fldChar w:fldCharType="separate"/>
        </w:r>
        <w:r>
          <w:rPr>
            <w:noProof/>
          </w:rPr>
          <w:t>241</w:t>
        </w:r>
        <w:r>
          <w:rPr>
            <w:noProof/>
          </w:rPr>
          <w:fldChar w:fldCharType="end"/>
        </w:r>
      </w:p>
    </w:sdtContent>
  </w:sdt>
  <w:p w14:paraId="2CF583F9" w14:textId="77777777" w:rsidR="00B46A8E" w:rsidRDefault="00B46A8E">
    <w:pPr>
      <w:pStyle w:val="Foote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03514755"/>
      <w:docPartObj>
        <w:docPartGallery w:val="Page Numbers (Bottom of Page)"/>
        <w:docPartUnique/>
      </w:docPartObj>
    </w:sdtPr>
    <w:sdtEndPr>
      <w:rPr>
        <w:noProof/>
      </w:rPr>
    </w:sdtEndPr>
    <w:sdtContent>
      <w:p w14:paraId="37846F40" w14:textId="7D0EFAA2" w:rsidR="00B46A8E" w:rsidRDefault="00B46A8E">
        <w:pPr>
          <w:pStyle w:val="Footer"/>
          <w:jc w:val="center"/>
        </w:pPr>
        <w:r>
          <w:fldChar w:fldCharType="begin"/>
        </w:r>
        <w:r>
          <w:instrText xml:space="preserve"> PAGE   \* MERGEFORMAT </w:instrText>
        </w:r>
        <w:r>
          <w:fldChar w:fldCharType="separate"/>
        </w:r>
        <w:r>
          <w:rPr>
            <w:noProof/>
          </w:rPr>
          <w:t>239</w:t>
        </w:r>
        <w:r>
          <w:rPr>
            <w:noProof/>
          </w:rPr>
          <w:fldChar w:fldCharType="end"/>
        </w:r>
      </w:p>
    </w:sdtContent>
  </w:sdt>
  <w:p w14:paraId="6EACC609" w14:textId="77777777" w:rsidR="00B46A8E" w:rsidRDefault="00B46A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60B8B0" w14:textId="77777777" w:rsidR="007C43F5" w:rsidRDefault="007C43F5" w:rsidP="003E5B95">
      <w:pPr>
        <w:spacing w:line="240" w:lineRule="auto"/>
      </w:pPr>
      <w:r>
        <w:separator/>
      </w:r>
    </w:p>
  </w:footnote>
  <w:footnote w:type="continuationSeparator" w:id="0">
    <w:p w14:paraId="2D0A358D" w14:textId="77777777" w:rsidR="007C43F5" w:rsidRDefault="007C43F5" w:rsidP="003E5B95">
      <w:pPr>
        <w:spacing w:line="240" w:lineRule="auto"/>
      </w:pPr>
      <w:r>
        <w:continuationSeparator/>
      </w:r>
    </w:p>
  </w:footnote>
  <w:footnote w:id="1">
    <w:p w14:paraId="5C29047C" w14:textId="77777777" w:rsidR="00B46A8E" w:rsidRPr="00504FB0" w:rsidRDefault="00B46A8E" w:rsidP="003E5B95">
      <w:pPr>
        <w:pStyle w:val="FootnoteText"/>
        <w:rPr>
          <w:rFonts w:ascii="Times New Roman" w:hAnsi="Times New Roman" w:cs="Times New Roman"/>
        </w:rPr>
      </w:pPr>
      <w:r w:rsidRPr="00504FB0">
        <w:rPr>
          <w:rStyle w:val="FootnoteReference"/>
          <w:rFonts w:ascii="Times New Roman" w:hAnsi="Times New Roman" w:cs="Times New Roman"/>
        </w:rPr>
        <w:footnoteRef/>
      </w:r>
      <w:r w:rsidRPr="00504FB0">
        <w:rPr>
          <w:rFonts w:ascii="Times New Roman" w:hAnsi="Times New Roman" w:cs="Times New Roman"/>
        </w:rPr>
        <w:t xml:space="preserve"> The American Institute of Stress. https://www.stress.org/workplace-stress</w:t>
      </w:r>
    </w:p>
  </w:footnote>
  <w:footnote w:id="2">
    <w:p w14:paraId="564D931F" w14:textId="3AE65F0B" w:rsidR="00B46A8E" w:rsidRPr="00504FB0" w:rsidRDefault="00B46A8E" w:rsidP="003E5B95">
      <w:pPr>
        <w:pStyle w:val="FootnoteText"/>
        <w:rPr>
          <w:rFonts w:ascii="Times New Roman" w:hAnsi="Times New Roman" w:cs="Times New Roman"/>
        </w:rPr>
      </w:pPr>
      <w:r w:rsidRPr="00504FB0">
        <w:rPr>
          <w:rStyle w:val="FootnoteReference"/>
          <w:rFonts w:ascii="Times New Roman" w:hAnsi="Times New Roman" w:cs="Times New Roman"/>
        </w:rPr>
        <w:footnoteRef/>
      </w:r>
      <w:r w:rsidRPr="00504FB0">
        <w:rPr>
          <w:rFonts w:ascii="Times New Roman" w:hAnsi="Times New Roman" w:cs="Times New Roman"/>
        </w:rPr>
        <w:t xml:space="preserve"> Lazarus and Folkman (1984) posited that people appraise demands as either potentially threatening or potentially promoting mastery, personal growth, or future gains. This distinction among stressors is </w:t>
      </w:r>
      <w:proofErr w:type="gramStart"/>
      <w:r w:rsidRPr="00504FB0">
        <w:rPr>
          <w:rFonts w:ascii="Times New Roman" w:hAnsi="Times New Roman" w:cs="Times New Roman"/>
        </w:rPr>
        <w:t>similar to</w:t>
      </w:r>
      <w:proofErr w:type="gramEnd"/>
      <w:r w:rsidRPr="00504FB0">
        <w:rPr>
          <w:rFonts w:ascii="Times New Roman" w:hAnsi="Times New Roman" w:cs="Times New Roman"/>
        </w:rPr>
        <w:t xml:space="preserve"> the distinction as presented by </w:t>
      </w:r>
      <w:r w:rsidRPr="00504FB0">
        <w:rPr>
          <w:rFonts w:ascii="Times New Roman" w:hAnsi="Times New Roman" w:cs="Times New Roman"/>
          <w:noProof/>
        </w:rPr>
        <w:t xml:space="preserve">Cavanaugh et al. (2000), </w:t>
      </w:r>
      <w:r w:rsidRPr="00504FB0">
        <w:rPr>
          <w:rFonts w:ascii="Times New Roman" w:hAnsi="Times New Roman" w:cs="Times New Roman"/>
        </w:rPr>
        <w:t xml:space="preserve">albeit Lazarus and Folkman used the labels "threats" and "challenges.” Also, CHF is grounded into the transactional theory of stress and coping from Lazarus and Folkman </w:t>
      </w:r>
      <w:r w:rsidRPr="00504FB0">
        <w:rPr>
          <w:rFonts w:ascii="Times New Roman" w:hAnsi="Times New Roman" w:cs="Times New Roman"/>
          <w:noProof/>
        </w:rPr>
        <w:t>(1984)</w:t>
      </w:r>
      <w:r w:rsidRPr="00504FB0">
        <w:rPr>
          <w:rFonts w:ascii="Times New Roman" w:hAnsi="Times New Roman" w:cs="Times New Roman"/>
        </w:rPr>
        <w:t>.</w:t>
      </w:r>
    </w:p>
  </w:footnote>
  <w:footnote w:id="3">
    <w:p w14:paraId="6D0F61CF" w14:textId="77777777" w:rsidR="00B46A8E" w:rsidRPr="00803720" w:rsidRDefault="00B46A8E" w:rsidP="003E5B95">
      <w:pPr>
        <w:pStyle w:val="FootnoteText"/>
        <w:rPr>
          <w:rFonts w:ascii="Times New Roman" w:hAnsi="Times New Roman" w:cs="Times New Roman"/>
        </w:rPr>
      </w:pPr>
      <w:r w:rsidRPr="00803720">
        <w:rPr>
          <w:rStyle w:val="FootnoteReference"/>
          <w:rFonts w:ascii="Times New Roman" w:hAnsi="Times New Roman" w:cs="Times New Roman"/>
        </w:rPr>
        <w:footnoteRef/>
      </w:r>
      <w:r w:rsidRPr="00803720">
        <w:rPr>
          <w:rFonts w:ascii="Times New Roman" w:hAnsi="Times New Roman" w:cs="Times New Roman"/>
        </w:rPr>
        <w:t xml:space="preserve"> This study has added work exhaustion as a stressor which has been tested as a stress response in another research. </w:t>
      </w:r>
    </w:p>
  </w:footnote>
  <w:footnote w:id="4">
    <w:p w14:paraId="02282F73" w14:textId="77777777" w:rsidR="00B46A8E" w:rsidRPr="00507804" w:rsidRDefault="00B46A8E" w:rsidP="003E5B95">
      <w:pPr>
        <w:pStyle w:val="FootnoteText"/>
        <w:rPr>
          <w:rFonts w:ascii="Times New Roman" w:eastAsia="Times New Roman" w:hAnsi="Times New Roman" w:cs="Times New Roman"/>
        </w:rPr>
      </w:pPr>
      <w:r w:rsidRPr="00507804">
        <w:rPr>
          <w:rStyle w:val="FootnoteReference"/>
          <w:rFonts w:ascii="Times New Roman" w:hAnsi="Times New Roman" w:cs="Times New Roman"/>
        </w:rPr>
        <w:footnoteRef/>
      </w:r>
      <w:r w:rsidRPr="00507804">
        <w:rPr>
          <w:rFonts w:ascii="Times New Roman" w:hAnsi="Times New Roman" w:cs="Times New Roman"/>
        </w:rPr>
        <w:t xml:space="preserve"> </w:t>
      </w:r>
      <w:r w:rsidRPr="00507804">
        <w:rPr>
          <w:rFonts w:ascii="Times New Roman" w:eastAsia="Times New Roman" w:hAnsi="Times New Roman" w:cs="Times New Roman"/>
        </w:rPr>
        <w:t>The reason being technology enabled performance is listed with other responses is because this paper tests it with other responses. Putting it in the outcome column will signal that performance is being affected by stress responses, which is not the case in this paper.</w:t>
      </w:r>
    </w:p>
  </w:footnote>
  <w:footnote w:id="5">
    <w:p w14:paraId="5AB0FBF5" w14:textId="77777777" w:rsidR="00B46A8E" w:rsidRPr="00803720" w:rsidRDefault="00B46A8E" w:rsidP="003E5B95">
      <w:pPr>
        <w:pStyle w:val="FootnoteText"/>
        <w:rPr>
          <w:rFonts w:ascii="Times New Roman" w:hAnsi="Times New Roman" w:cs="Times New Roman"/>
        </w:rPr>
      </w:pPr>
      <w:r w:rsidRPr="00803720">
        <w:rPr>
          <w:rStyle w:val="FootnoteReference"/>
          <w:rFonts w:ascii="Times New Roman" w:hAnsi="Times New Roman" w:cs="Times New Roman"/>
        </w:rPr>
        <w:footnoteRef/>
      </w:r>
      <w:r w:rsidRPr="00803720">
        <w:rPr>
          <w:rFonts w:ascii="Times New Roman" w:hAnsi="Times New Roman" w:cs="Times New Roman"/>
        </w:rPr>
        <w:t xml:space="preserve"> </w:t>
      </w:r>
      <w:r w:rsidRPr="00803720">
        <w:rPr>
          <w:rFonts w:ascii="Times New Roman" w:eastAsia="Times New Roman" w:hAnsi="Times New Roman" w:cs="Times New Roman"/>
        </w:rPr>
        <w:t>This paper does not explicitly discuss appraisals; however, it mentions the role of job autonomy, which is a form of control an individual has over their jobs and moderates the relationship between stressor-learning demands and work exhaustion.</w:t>
      </w:r>
    </w:p>
  </w:footnote>
  <w:footnote w:id="6">
    <w:p w14:paraId="52BED426" w14:textId="77777777" w:rsidR="00B46A8E" w:rsidRPr="00803720" w:rsidRDefault="00B46A8E" w:rsidP="003E5B95">
      <w:pPr>
        <w:pStyle w:val="FootnoteText"/>
        <w:rPr>
          <w:rFonts w:ascii="Times New Roman" w:hAnsi="Times New Roman" w:cs="Times New Roman"/>
        </w:rPr>
      </w:pPr>
      <w:r w:rsidRPr="00803720">
        <w:rPr>
          <w:rStyle w:val="FootnoteReference"/>
          <w:rFonts w:ascii="Times New Roman" w:hAnsi="Times New Roman" w:cs="Times New Roman"/>
        </w:rPr>
        <w:footnoteRef/>
      </w:r>
      <w:r w:rsidRPr="00803720">
        <w:rPr>
          <w:rFonts w:ascii="Times New Roman" w:hAnsi="Times New Roman" w:cs="Times New Roman"/>
        </w:rPr>
        <w:t xml:space="preserve"> Although articles based on threat and coping appraisal are excluded based on the exclusion criteria, this article is an exception to the rule because it studies phishing anxiety, which is one form of stress response related to the InfoSec context.  </w:t>
      </w:r>
    </w:p>
    <w:p w14:paraId="7DDDA718" w14:textId="77777777" w:rsidR="00B46A8E" w:rsidRDefault="00B46A8E" w:rsidP="003E5B95">
      <w:pPr>
        <w:pStyle w:val="FootnoteText"/>
      </w:pPr>
    </w:p>
    <w:p w14:paraId="3B603623" w14:textId="77777777" w:rsidR="00B46A8E" w:rsidRDefault="00B46A8E" w:rsidP="003E5B95">
      <w:pPr>
        <w:pStyle w:val="FootnoteText"/>
      </w:pPr>
    </w:p>
  </w:footnote>
  <w:footnote w:id="7">
    <w:p w14:paraId="75099E46" w14:textId="11AE7CC6" w:rsidR="00B46A8E" w:rsidRPr="00A87683" w:rsidRDefault="00B46A8E" w:rsidP="003E5B95">
      <w:pPr>
        <w:pStyle w:val="FootnoteText"/>
        <w:rPr>
          <w:rFonts w:ascii="Times New Roman" w:hAnsi="Times New Roman" w:cs="Times New Roman"/>
        </w:rPr>
      </w:pPr>
      <w:r w:rsidRPr="00A87683">
        <w:rPr>
          <w:rStyle w:val="FootnoteReference"/>
          <w:rFonts w:ascii="Times New Roman" w:hAnsi="Times New Roman" w:cs="Times New Roman"/>
        </w:rPr>
        <w:footnoteRef/>
      </w:r>
      <w:r w:rsidRPr="00A87683">
        <w:rPr>
          <w:rFonts w:ascii="Times New Roman" w:hAnsi="Times New Roman" w:cs="Times New Roman"/>
        </w:rPr>
        <w:t xml:space="preserve"> </w:t>
      </w:r>
      <w:r w:rsidRPr="00A87683">
        <w:rPr>
          <w:rStyle w:val="il"/>
          <w:rFonts w:ascii="Times New Roman" w:hAnsi="Times New Roman" w:cs="Times New Roman"/>
          <w:color w:val="000000"/>
        </w:rPr>
        <w:t>In general, electronic monitoring involves the use of electronic instruments or devices, such as computers, to collect, store, analyze, and report individual actions and performance (</w:t>
      </w:r>
      <w:proofErr w:type="spellStart"/>
      <w:r w:rsidRPr="00A87683">
        <w:rPr>
          <w:rStyle w:val="il"/>
          <w:rFonts w:ascii="Times New Roman" w:hAnsi="Times New Roman" w:cs="Times New Roman"/>
          <w:noProof/>
          <w:color w:val="000000"/>
        </w:rPr>
        <w:t>Nebeker</w:t>
      </w:r>
      <w:proofErr w:type="spellEnd"/>
      <w:r>
        <w:rPr>
          <w:rStyle w:val="il"/>
          <w:rFonts w:ascii="Times New Roman" w:hAnsi="Times New Roman" w:cs="Times New Roman"/>
          <w:noProof/>
          <w:color w:val="000000"/>
        </w:rPr>
        <w:t xml:space="preserve"> </w:t>
      </w:r>
      <w:r w:rsidRPr="00A87683">
        <w:rPr>
          <w:rStyle w:val="il"/>
          <w:rFonts w:ascii="Times New Roman" w:hAnsi="Times New Roman" w:cs="Times New Roman"/>
          <w:noProof/>
          <w:color w:val="000000"/>
        </w:rPr>
        <w:t>&amp; Tatum</w:t>
      </w:r>
      <w:r>
        <w:rPr>
          <w:rStyle w:val="il"/>
          <w:rFonts w:ascii="Times New Roman" w:hAnsi="Times New Roman" w:cs="Times New Roman"/>
          <w:noProof/>
          <w:color w:val="000000"/>
        </w:rPr>
        <w:t xml:space="preserve">, </w:t>
      </w:r>
      <w:r w:rsidRPr="00A87683">
        <w:rPr>
          <w:rStyle w:val="il"/>
          <w:rFonts w:ascii="Times New Roman" w:hAnsi="Times New Roman" w:cs="Times New Roman"/>
          <w:noProof/>
          <w:color w:val="000000"/>
        </w:rPr>
        <w:t xml:space="preserve">1993). </w:t>
      </w:r>
      <w:r w:rsidRPr="00A87683">
        <w:rPr>
          <w:rStyle w:val="il"/>
          <w:rFonts w:ascii="Times New Roman" w:hAnsi="Times New Roman" w:cs="Times New Roman"/>
          <w:color w:val="000000"/>
        </w:rPr>
        <w:t>But if monitoring is being done to uncover specific wrongdoing, it is classified as surveillance (</w:t>
      </w:r>
      <w:proofErr w:type="spellStart"/>
      <w:r w:rsidRPr="00A87683">
        <w:rPr>
          <w:rStyle w:val="il"/>
          <w:rFonts w:ascii="Times New Roman" w:hAnsi="Times New Roman" w:cs="Times New Roman"/>
          <w:noProof/>
          <w:color w:val="000000"/>
        </w:rPr>
        <w:t>D’Urso</w:t>
      </w:r>
      <w:proofErr w:type="spellEnd"/>
      <w:r w:rsidRPr="00A87683">
        <w:rPr>
          <w:rStyle w:val="il"/>
          <w:rFonts w:ascii="Times New Roman" w:hAnsi="Times New Roman" w:cs="Times New Roman"/>
          <w:noProof/>
          <w:color w:val="000000"/>
        </w:rPr>
        <w:t>,</w:t>
      </w:r>
      <w:r>
        <w:rPr>
          <w:rStyle w:val="il"/>
          <w:rFonts w:ascii="Times New Roman" w:hAnsi="Times New Roman" w:cs="Times New Roman"/>
          <w:noProof/>
          <w:color w:val="000000"/>
        </w:rPr>
        <w:t xml:space="preserve"> </w:t>
      </w:r>
      <w:r w:rsidRPr="00A87683">
        <w:rPr>
          <w:rStyle w:val="il"/>
          <w:rFonts w:ascii="Times New Roman" w:hAnsi="Times New Roman" w:cs="Times New Roman"/>
          <w:noProof/>
          <w:color w:val="000000"/>
        </w:rPr>
        <w:t xml:space="preserve">2006). </w:t>
      </w:r>
      <w:r w:rsidRPr="00A87683">
        <w:rPr>
          <w:rStyle w:val="il"/>
          <w:rFonts w:ascii="Times New Roman" w:hAnsi="Times New Roman" w:cs="Times New Roman"/>
          <w:color w:val="000000"/>
        </w:rPr>
        <w:t>Surveillance is defined as a formal control system through which an organization employs monitoring to prevent employees’ delinquent behaviors by reporting deviations from the organization's norms (</w:t>
      </w:r>
      <w:r w:rsidRPr="00A87683">
        <w:rPr>
          <w:rStyle w:val="il"/>
          <w:rFonts w:ascii="Times New Roman" w:hAnsi="Times New Roman" w:cs="Times New Roman"/>
          <w:noProof/>
          <w:color w:val="000000"/>
        </w:rPr>
        <w:t>de Vries,</w:t>
      </w:r>
      <w:r>
        <w:rPr>
          <w:rStyle w:val="il"/>
          <w:rFonts w:ascii="Times New Roman" w:hAnsi="Times New Roman" w:cs="Times New Roman"/>
          <w:noProof/>
          <w:color w:val="000000"/>
        </w:rPr>
        <w:t xml:space="preserve"> </w:t>
      </w:r>
      <w:r w:rsidRPr="00A87683">
        <w:rPr>
          <w:rStyle w:val="il"/>
          <w:rFonts w:ascii="Times New Roman" w:hAnsi="Times New Roman" w:cs="Times New Roman"/>
          <w:noProof/>
          <w:color w:val="000000"/>
        </w:rPr>
        <w:t>&amp; van Gelder,2015)</w:t>
      </w:r>
      <w:r w:rsidRPr="00A87683">
        <w:rPr>
          <w:rStyle w:val="il"/>
          <w:rFonts w:ascii="Times New Roman" w:hAnsi="Times New Roman" w:cs="Times New Roman"/>
          <w:color w:val="000000"/>
        </w:rPr>
        <w:t>.</w:t>
      </w:r>
    </w:p>
  </w:footnote>
  <w:footnote w:id="8">
    <w:p w14:paraId="5845AB94" w14:textId="77777777" w:rsidR="00B46A8E" w:rsidRPr="00A87683" w:rsidRDefault="00B46A8E" w:rsidP="003E5B95">
      <w:pPr>
        <w:pStyle w:val="FootnoteText"/>
        <w:rPr>
          <w:rFonts w:ascii="Times New Roman" w:hAnsi="Times New Roman" w:cs="Times New Roman"/>
        </w:rPr>
      </w:pPr>
      <w:r w:rsidRPr="00A87683">
        <w:rPr>
          <w:rStyle w:val="FootnoteReference"/>
          <w:rFonts w:ascii="Times New Roman" w:hAnsi="Times New Roman" w:cs="Times New Roman"/>
        </w:rPr>
        <w:footnoteRef/>
      </w:r>
      <w:r w:rsidRPr="00A87683">
        <w:rPr>
          <w:rFonts w:ascii="Times New Roman" w:hAnsi="Times New Roman" w:cs="Times New Roman"/>
        </w:rPr>
        <w:t xml:space="preserve"> To our knowledge, </w:t>
      </w:r>
      <w:r w:rsidRPr="00A87683">
        <w:rPr>
          <w:rFonts w:ascii="Times New Roman" w:hAnsi="Times New Roman" w:cs="Times New Roman"/>
          <w:noProof/>
        </w:rPr>
        <w:t>D'Arcy et al. (2014</w:t>
      </w:r>
      <w:r w:rsidRPr="00A87683">
        <w:rPr>
          <w:rFonts w:ascii="Times New Roman" w:hAnsi="Times New Roman" w:cs="Times New Roman"/>
        </w:rPr>
        <w:t>) have used coping theory (by Lazarus and Folkman) to explain security-related stress in the InfoSec domain.</w:t>
      </w:r>
    </w:p>
  </w:footnote>
  <w:footnote w:id="9">
    <w:p w14:paraId="03D43286" w14:textId="37A75D42" w:rsidR="00B46A8E" w:rsidRPr="001B4214" w:rsidRDefault="00B46A8E" w:rsidP="003E5B95">
      <w:pPr>
        <w:tabs>
          <w:tab w:val="left" w:pos="525"/>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autoSpaceDE w:val="0"/>
        <w:autoSpaceDN w:val="0"/>
        <w:adjustRightInd w:val="0"/>
        <w:spacing w:line="240" w:lineRule="auto"/>
        <w:ind w:right="75"/>
        <w:rPr>
          <w:sz w:val="20"/>
        </w:rPr>
      </w:pPr>
      <w:r w:rsidRPr="001B4214">
        <w:rPr>
          <w:rStyle w:val="FootnoteReference"/>
          <w:sz w:val="20"/>
        </w:rPr>
        <w:footnoteRef/>
      </w:r>
      <w:r w:rsidRPr="001B4214">
        <w:rPr>
          <w:sz w:val="20"/>
        </w:rPr>
        <w:t xml:space="preserve"> Because false alarms can be both false positives and false negatives, we distinguish between them in our hypotheses. </w:t>
      </w:r>
    </w:p>
    <w:p w14:paraId="7EA2E56A" w14:textId="77777777" w:rsidR="00B46A8E" w:rsidRDefault="00B46A8E" w:rsidP="003E5B95">
      <w:pPr>
        <w:pStyle w:val="FootnoteText"/>
      </w:pPr>
    </w:p>
  </w:footnote>
  <w:footnote w:id="10">
    <w:p w14:paraId="44DDB8CF" w14:textId="6C99E168" w:rsidR="00B46A8E" w:rsidRPr="00C2409A" w:rsidRDefault="00B46A8E" w:rsidP="003E5B95">
      <w:pPr>
        <w:pStyle w:val="FootnoteText"/>
        <w:rPr>
          <w:rFonts w:ascii="Times New Roman" w:hAnsi="Times New Roman" w:cs="Times New Roman"/>
        </w:rPr>
      </w:pPr>
      <w:r w:rsidRPr="00C2409A">
        <w:rPr>
          <w:rStyle w:val="FootnoteReference"/>
          <w:rFonts w:ascii="Times New Roman" w:hAnsi="Times New Roman" w:cs="Times New Roman"/>
        </w:rPr>
        <w:footnoteRef/>
      </w:r>
      <w:r w:rsidRPr="00C2409A">
        <w:rPr>
          <w:rFonts w:ascii="Times New Roman" w:hAnsi="Times New Roman" w:cs="Times New Roman"/>
        </w:rPr>
        <w:t xml:space="preserve"> </w:t>
      </w:r>
      <w:r w:rsidRPr="00C2409A">
        <w:rPr>
          <w:rFonts w:ascii="Times New Roman" w:hAnsi="Times New Roman" w:cs="Times New Roman"/>
          <w:noProof/>
        </w:rPr>
        <w:t xml:space="preserve">U.S. Department of Labor, Occupational Outlook Handbook,."Retrieved May 5, 2020, from </w:t>
      </w:r>
      <w:hyperlink r:id="rId1" w:history="1">
        <w:r w:rsidRPr="00C2409A">
          <w:rPr>
            <w:rStyle w:val="Hyperlink"/>
            <w:rFonts w:ascii="Times New Roman" w:hAnsi="Times New Roman" w:cs="Times New Roman"/>
            <w:noProof/>
            <w:color w:val="auto"/>
          </w:rPr>
          <w:t>https://www.bls.gov/ooh/computer-and-information-technology/information-security-analysts.htm</w:t>
        </w:r>
      </w:hyperlink>
    </w:p>
  </w:footnote>
  <w:footnote w:id="11">
    <w:p w14:paraId="0907A3C9" w14:textId="77777777" w:rsidR="00B46A8E" w:rsidRPr="00C2409A" w:rsidRDefault="00B46A8E" w:rsidP="003E5B95">
      <w:pPr>
        <w:pStyle w:val="FootnoteText"/>
        <w:rPr>
          <w:rFonts w:ascii="Times New Roman" w:hAnsi="Times New Roman" w:cs="Times New Roman"/>
        </w:rPr>
      </w:pPr>
      <w:r w:rsidRPr="00C2409A">
        <w:rPr>
          <w:rStyle w:val="FootnoteReference"/>
          <w:rFonts w:ascii="Times New Roman" w:hAnsi="Times New Roman" w:cs="Times New Roman"/>
        </w:rPr>
        <w:footnoteRef/>
      </w:r>
      <w:r w:rsidRPr="00C2409A">
        <w:rPr>
          <w:rFonts w:ascii="Times New Roman" w:hAnsi="Times New Roman" w:cs="Times New Roman"/>
        </w:rPr>
        <w:t xml:space="preserve"> Since the JD-R model is a guiding theoretical perspective in this essay, the term “demand” is used instead of “stressor” which is used in essay 2. The term stressor is more consistent with the transactional theory of stress and demand is consistent with the JD-R model. Otherwise, demand and stressors are used interchangeably. </w:t>
      </w:r>
    </w:p>
  </w:footnote>
  <w:footnote w:id="12">
    <w:p w14:paraId="05230D8C" w14:textId="77777777" w:rsidR="00B46A8E" w:rsidRPr="00C2409A" w:rsidRDefault="00B46A8E" w:rsidP="003E5B95">
      <w:pPr>
        <w:pStyle w:val="FootnoteText"/>
        <w:rPr>
          <w:rFonts w:ascii="Times New Roman" w:hAnsi="Times New Roman" w:cs="Times New Roman"/>
        </w:rPr>
      </w:pPr>
      <w:r w:rsidRPr="00C2409A">
        <w:rPr>
          <w:rStyle w:val="FootnoteReference"/>
          <w:rFonts w:ascii="Times New Roman" w:hAnsi="Times New Roman" w:cs="Times New Roman"/>
        </w:rPr>
        <w:footnoteRef/>
      </w:r>
      <w:r w:rsidRPr="00C2409A">
        <w:rPr>
          <w:rFonts w:ascii="Times New Roman" w:hAnsi="Times New Roman" w:cs="Times New Roman"/>
        </w:rPr>
        <w:t xml:space="preserve"> The differential nature of a job demand means that the demand can be a source of both positive and negative psychological states and outcomes.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CC3A1F0" w14:textId="77777777" w:rsidR="00B46A8E" w:rsidRDefault="00B46A8E" w:rsidP="003E5B95">
    <w:pPr>
      <w:ind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52FE0E" w14:textId="77777777" w:rsidR="00B46A8E" w:rsidRDefault="00B46A8E" w:rsidP="003E5B95">
    <w:pPr>
      <w:ind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A1E4DE" w14:textId="77777777" w:rsidR="00B46A8E" w:rsidRDefault="00B46A8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9A5F13"/>
    <w:multiLevelType w:val="hybridMultilevel"/>
    <w:tmpl w:val="6AD019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445A0C"/>
    <w:multiLevelType w:val="hybridMultilevel"/>
    <w:tmpl w:val="BB56743C"/>
    <w:lvl w:ilvl="0" w:tplc="0EFAFD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523A40"/>
    <w:multiLevelType w:val="hybridMultilevel"/>
    <w:tmpl w:val="92461F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4E2ED8"/>
    <w:multiLevelType w:val="hybridMultilevel"/>
    <w:tmpl w:val="CD40CB32"/>
    <w:lvl w:ilvl="0" w:tplc="C7ACA112">
      <w:start w:val="1"/>
      <w:numFmt w:val="upperLetter"/>
      <w:lvlText w:val="%1."/>
      <w:lvlJc w:val="left"/>
      <w:pPr>
        <w:ind w:left="720" w:hanging="360"/>
      </w:pPr>
      <w:rPr>
        <w:rFonts w:ascii="Times New Roman" w:hAnsi="Times New Roman" w:cs="Times New Roman" w:hint="default"/>
        <w:color w:val="00000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3BE6E2F"/>
    <w:multiLevelType w:val="hybridMultilevel"/>
    <w:tmpl w:val="8ED4F4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338D588E"/>
    <w:multiLevelType w:val="hybridMultilevel"/>
    <w:tmpl w:val="CD105AEE"/>
    <w:lvl w:ilvl="0" w:tplc="B5367564">
      <w:start w:val="1"/>
      <w:numFmt w:val="bullet"/>
      <w:pStyle w:val="tabbullappendix"/>
      <w:lvlText w:val=""/>
      <w:lvlJc w:val="left"/>
      <w:pPr>
        <w:ind w:left="3690" w:hanging="360"/>
      </w:pPr>
      <w:rPr>
        <w:rFonts w:ascii="Symbol" w:hAnsi="Symbol" w:hint="default"/>
      </w:rPr>
    </w:lvl>
    <w:lvl w:ilvl="1" w:tplc="04090003" w:tentative="1">
      <w:start w:val="1"/>
      <w:numFmt w:val="bullet"/>
      <w:lvlText w:val="o"/>
      <w:lvlJc w:val="left"/>
      <w:pPr>
        <w:ind w:left="4410" w:hanging="360"/>
      </w:pPr>
      <w:rPr>
        <w:rFonts w:ascii="Courier New" w:hAnsi="Courier New" w:cs="Courier New" w:hint="default"/>
      </w:rPr>
    </w:lvl>
    <w:lvl w:ilvl="2" w:tplc="04090005" w:tentative="1">
      <w:start w:val="1"/>
      <w:numFmt w:val="bullet"/>
      <w:lvlText w:val=""/>
      <w:lvlJc w:val="left"/>
      <w:pPr>
        <w:ind w:left="5130" w:hanging="360"/>
      </w:pPr>
      <w:rPr>
        <w:rFonts w:ascii="Wingdings" w:hAnsi="Wingdings" w:hint="default"/>
      </w:rPr>
    </w:lvl>
    <w:lvl w:ilvl="3" w:tplc="04090001">
      <w:start w:val="1"/>
      <w:numFmt w:val="bullet"/>
      <w:lvlText w:val=""/>
      <w:lvlJc w:val="left"/>
      <w:pPr>
        <w:ind w:left="5850" w:hanging="360"/>
      </w:pPr>
      <w:rPr>
        <w:rFonts w:ascii="Symbol" w:hAnsi="Symbol" w:hint="default"/>
      </w:rPr>
    </w:lvl>
    <w:lvl w:ilvl="4" w:tplc="04090003" w:tentative="1">
      <w:start w:val="1"/>
      <w:numFmt w:val="bullet"/>
      <w:lvlText w:val="o"/>
      <w:lvlJc w:val="left"/>
      <w:pPr>
        <w:ind w:left="6570" w:hanging="360"/>
      </w:pPr>
      <w:rPr>
        <w:rFonts w:ascii="Courier New" w:hAnsi="Courier New" w:cs="Courier New" w:hint="default"/>
      </w:rPr>
    </w:lvl>
    <w:lvl w:ilvl="5" w:tplc="04090005" w:tentative="1">
      <w:start w:val="1"/>
      <w:numFmt w:val="bullet"/>
      <w:lvlText w:val=""/>
      <w:lvlJc w:val="left"/>
      <w:pPr>
        <w:ind w:left="7290" w:hanging="360"/>
      </w:pPr>
      <w:rPr>
        <w:rFonts w:ascii="Wingdings" w:hAnsi="Wingdings" w:hint="default"/>
      </w:rPr>
    </w:lvl>
    <w:lvl w:ilvl="6" w:tplc="04090001" w:tentative="1">
      <w:start w:val="1"/>
      <w:numFmt w:val="bullet"/>
      <w:lvlText w:val=""/>
      <w:lvlJc w:val="left"/>
      <w:pPr>
        <w:ind w:left="8010" w:hanging="360"/>
      </w:pPr>
      <w:rPr>
        <w:rFonts w:ascii="Symbol" w:hAnsi="Symbol" w:hint="default"/>
      </w:rPr>
    </w:lvl>
    <w:lvl w:ilvl="7" w:tplc="04090003" w:tentative="1">
      <w:start w:val="1"/>
      <w:numFmt w:val="bullet"/>
      <w:lvlText w:val="o"/>
      <w:lvlJc w:val="left"/>
      <w:pPr>
        <w:ind w:left="8730" w:hanging="360"/>
      </w:pPr>
      <w:rPr>
        <w:rFonts w:ascii="Courier New" w:hAnsi="Courier New" w:cs="Courier New" w:hint="default"/>
      </w:rPr>
    </w:lvl>
    <w:lvl w:ilvl="8" w:tplc="04090005" w:tentative="1">
      <w:start w:val="1"/>
      <w:numFmt w:val="bullet"/>
      <w:lvlText w:val=""/>
      <w:lvlJc w:val="left"/>
      <w:pPr>
        <w:ind w:left="9450" w:hanging="360"/>
      </w:pPr>
      <w:rPr>
        <w:rFonts w:ascii="Wingdings" w:hAnsi="Wingdings" w:hint="default"/>
      </w:rPr>
    </w:lvl>
  </w:abstractNum>
  <w:abstractNum w:abstractNumId="6" w15:restartNumberingAfterBreak="0">
    <w:nsid w:val="412F7370"/>
    <w:multiLevelType w:val="hybridMultilevel"/>
    <w:tmpl w:val="435ED9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1896946"/>
    <w:multiLevelType w:val="hybridMultilevel"/>
    <w:tmpl w:val="FC6681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BB56FC"/>
    <w:multiLevelType w:val="hybridMultilevel"/>
    <w:tmpl w:val="489265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60015B47"/>
    <w:multiLevelType w:val="hybridMultilevel"/>
    <w:tmpl w:val="E6F27B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B543849"/>
    <w:multiLevelType w:val="hybridMultilevel"/>
    <w:tmpl w:val="B4081E24"/>
    <w:lvl w:ilvl="0" w:tplc="1AAEF1A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6F3337ED"/>
    <w:multiLevelType w:val="hybridMultilevel"/>
    <w:tmpl w:val="67B61484"/>
    <w:lvl w:ilvl="0" w:tplc="04090015">
      <w:start w:val="1"/>
      <w:numFmt w:val="upp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5DC4512"/>
    <w:multiLevelType w:val="hybridMultilevel"/>
    <w:tmpl w:val="282A43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75966B8"/>
    <w:multiLevelType w:val="hybridMultilevel"/>
    <w:tmpl w:val="C57230E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850627A"/>
    <w:multiLevelType w:val="hybridMultilevel"/>
    <w:tmpl w:val="E83E13C0"/>
    <w:lvl w:ilvl="0" w:tplc="13480BEE">
      <w:start w:val="1"/>
      <w:numFmt w:val="decimal"/>
      <w:lvlText w:val="%1."/>
      <w:lvlJc w:val="left"/>
      <w:pPr>
        <w:ind w:left="360" w:hanging="360"/>
      </w:pPr>
      <w:rPr>
        <w:rFonts w:ascii="Times New Roman" w:eastAsiaTheme="minorHAnsi" w:hAnsi="Times New Roman" w:cs="Times New Roman"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5" w15:restartNumberingAfterBreak="0">
    <w:nsid w:val="786C2B1B"/>
    <w:multiLevelType w:val="hybridMultilevel"/>
    <w:tmpl w:val="EA12663E"/>
    <w:lvl w:ilvl="0" w:tplc="04090015">
      <w:start w:val="1"/>
      <w:numFmt w:val="upperLetter"/>
      <w:lvlText w:val="%1."/>
      <w:lvlJc w:val="left"/>
      <w:pPr>
        <w:ind w:left="720" w:hanging="360"/>
      </w:pPr>
      <w:rPr>
        <w:rFonts w:hint="default"/>
        <w:b w:val="0"/>
        <w:bCs w:val="0"/>
      </w:rPr>
    </w:lvl>
    <w:lvl w:ilvl="1" w:tplc="DAD47994" w:tentative="1">
      <w:start w:val="1"/>
      <w:numFmt w:val="lowerLetter"/>
      <w:lvlText w:val="%2."/>
      <w:lvlJc w:val="left"/>
      <w:pPr>
        <w:ind w:left="1440" w:hanging="360"/>
      </w:pPr>
    </w:lvl>
    <w:lvl w:ilvl="2" w:tplc="965E36AE" w:tentative="1">
      <w:start w:val="1"/>
      <w:numFmt w:val="lowerRoman"/>
      <w:lvlText w:val="%3."/>
      <w:lvlJc w:val="right"/>
      <w:pPr>
        <w:ind w:left="2160" w:hanging="180"/>
      </w:pPr>
    </w:lvl>
    <w:lvl w:ilvl="3" w:tplc="3EA6F73E" w:tentative="1">
      <w:start w:val="1"/>
      <w:numFmt w:val="decimal"/>
      <w:lvlText w:val="%4."/>
      <w:lvlJc w:val="left"/>
      <w:pPr>
        <w:ind w:left="2880" w:hanging="360"/>
      </w:pPr>
    </w:lvl>
    <w:lvl w:ilvl="4" w:tplc="A862589E" w:tentative="1">
      <w:start w:val="1"/>
      <w:numFmt w:val="lowerLetter"/>
      <w:lvlText w:val="%5."/>
      <w:lvlJc w:val="left"/>
      <w:pPr>
        <w:ind w:left="3600" w:hanging="360"/>
      </w:pPr>
    </w:lvl>
    <w:lvl w:ilvl="5" w:tplc="31FA9A42" w:tentative="1">
      <w:start w:val="1"/>
      <w:numFmt w:val="lowerRoman"/>
      <w:lvlText w:val="%6."/>
      <w:lvlJc w:val="right"/>
      <w:pPr>
        <w:ind w:left="4320" w:hanging="180"/>
      </w:pPr>
    </w:lvl>
    <w:lvl w:ilvl="6" w:tplc="7CB6CFE6" w:tentative="1">
      <w:start w:val="1"/>
      <w:numFmt w:val="decimal"/>
      <w:lvlText w:val="%7."/>
      <w:lvlJc w:val="left"/>
      <w:pPr>
        <w:ind w:left="5040" w:hanging="360"/>
      </w:pPr>
    </w:lvl>
    <w:lvl w:ilvl="7" w:tplc="63229F42" w:tentative="1">
      <w:start w:val="1"/>
      <w:numFmt w:val="lowerLetter"/>
      <w:lvlText w:val="%8."/>
      <w:lvlJc w:val="left"/>
      <w:pPr>
        <w:ind w:left="5760" w:hanging="360"/>
      </w:pPr>
    </w:lvl>
    <w:lvl w:ilvl="8" w:tplc="1FCEA826" w:tentative="1">
      <w:start w:val="1"/>
      <w:numFmt w:val="lowerRoman"/>
      <w:lvlText w:val="%9."/>
      <w:lvlJc w:val="right"/>
      <w:pPr>
        <w:ind w:left="6480" w:hanging="180"/>
      </w:pPr>
    </w:lvl>
  </w:abstractNum>
  <w:abstractNum w:abstractNumId="16" w15:restartNumberingAfterBreak="0">
    <w:nsid w:val="79021517"/>
    <w:multiLevelType w:val="hybridMultilevel"/>
    <w:tmpl w:val="AB766928"/>
    <w:lvl w:ilvl="0" w:tplc="5D6C752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6"/>
  </w:num>
  <w:num w:numId="4">
    <w:abstractNumId w:val="8"/>
  </w:num>
  <w:num w:numId="5">
    <w:abstractNumId w:val="5"/>
  </w:num>
  <w:num w:numId="6">
    <w:abstractNumId w:val="3"/>
  </w:num>
  <w:num w:numId="7">
    <w:abstractNumId w:val="11"/>
  </w:num>
  <w:num w:numId="8">
    <w:abstractNumId w:val="12"/>
  </w:num>
  <w:num w:numId="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4"/>
  </w:num>
  <w:num w:numId="12">
    <w:abstractNumId w:val="15"/>
  </w:num>
  <w:num w:numId="13">
    <w:abstractNumId w:val="16"/>
  </w:num>
  <w:num w:numId="14">
    <w:abstractNumId w:val="10"/>
  </w:num>
  <w:num w:numId="15">
    <w:abstractNumId w:val="1"/>
  </w:num>
  <w:num w:numId="16">
    <w:abstractNumId w:val="2"/>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3E5B95"/>
    <w:rsid w:val="00020B4D"/>
    <w:rsid w:val="000343DE"/>
    <w:rsid w:val="000361CD"/>
    <w:rsid w:val="00063629"/>
    <w:rsid w:val="00072576"/>
    <w:rsid w:val="000B4FB5"/>
    <w:rsid w:val="000D1F41"/>
    <w:rsid w:val="000E3F49"/>
    <w:rsid w:val="00116099"/>
    <w:rsid w:val="001520D2"/>
    <w:rsid w:val="00177D4B"/>
    <w:rsid w:val="001B4214"/>
    <w:rsid w:val="001C71AA"/>
    <w:rsid w:val="001E7527"/>
    <w:rsid w:val="00210BC4"/>
    <w:rsid w:val="00217DBE"/>
    <w:rsid w:val="00226A94"/>
    <w:rsid w:val="002347D5"/>
    <w:rsid w:val="002B1959"/>
    <w:rsid w:val="002D47C2"/>
    <w:rsid w:val="002D746D"/>
    <w:rsid w:val="002F00D1"/>
    <w:rsid w:val="002F5BAF"/>
    <w:rsid w:val="00302B89"/>
    <w:rsid w:val="00336B04"/>
    <w:rsid w:val="00354080"/>
    <w:rsid w:val="0039470F"/>
    <w:rsid w:val="003C0000"/>
    <w:rsid w:val="003C2992"/>
    <w:rsid w:val="003D6426"/>
    <w:rsid w:val="003E3A3F"/>
    <w:rsid w:val="003E5B95"/>
    <w:rsid w:val="004011E1"/>
    <w:rsid w:val="004133EF"/>
    <w:rsid w:val="00413968"/>
    <w:rsid w:val="00414885"/>
    <w:rsid w:val="00426168"/>
    <w:rsid w:val="0045738D"/>
    <w:rsid w:val="004669F2"/>
    <w:rsid w:val="004730CB"/>
    <w:rsid w:val="004F77FD"/>
    <w:rsid w:val="005033C6"/>
    <w:rsid w:val="00504FB0"/>
    <w:rsid w:val="00506CC2"/>
    <w:rsid w:val="00507804"/>
    <w:rsid w:val="00520A96"/>
    <w:rsid w:val="005B43E6"/>
    <w:rsid w:val="005D47DC"/>
    <w:rsid w:val="005E5E65"/>
    <w:rsid w:val="006036AD"/>
    <w:rsid w:val="006571C2"/>
    <w:rsid w:val="00657574"/>
    <w:rsid w:val="00661DFC"/>
    <w:rsid w:val="0066577D"/>
    <w:rsid w:val="00667CDD"/>
    <w:rsid w:val="00697AEF"/>
    <w:rsid w:val="006C4B9C"/>
    <w:rsid w:val="006D4DA0"/>
    <w:rsid w:val="00700C32"/>
    <w:rsid w:val="007034E7"/>
    <w:rsid w:val="00710F72"/>
    <w:rsid w:val="00723F38"/>
    <w:rsid w:val="00771A84"/>
    <w:rsid w:val="00781B12"/>
    <w:rsid w:val="00787B1F"/>
    <w:rsid w:val="00797970"/>
    <w:rsid w:val="007A51DE"/>
    <w:rsid w:val="007C43F5"/>
    <w:rsid w:val="007D5BEC"/>
    <w:rsid w:val="007F47CD"/>
    <w:rsid w:val="00803720"/>
    <w:rsid w:val="008273A3"/>
    <w:rsid w:val="0084106A"/>
    <w:rsid w:val="00861A93"/>
    <w:rsid w:val="008A5F45"/>
    <w:rsid w:val="008A6A6E"/>
    <w:rsid w:val="008C726E"/>
    <w:rsid w:val="008D2D0D"/>
    <w:rsid w:val="0090311C"/>
    <w:rsid w:val="009A5CA0"/>
    <w:rsid w:val="009B4193"/>
    <w:rsid w:val="00A20A73"/>
    <w:rsid w:val="00A20AAF"/>
    <w:rsid w:val="00A2242A"/>
    <w:rsid w:val="00A84905"/>
    <w:rsid w:val="00A8725D"/>
    <w:rsid w:val="00A87683"/>
    <w:rsid w:val="00A9497C"/>
    <w:rsid w:val="00AB13D5"/>
    <w:rsid w:val="00AB540D"/>
    <w:rsid w:val="00AD0F75"/>
    <w:rsid w:val="00AD5D3F"/>
    <w:rsid w:val="00B06E55"/>
    <w:rsid w:val="00B46A8E"/>
    <w:rsid w:val="00B55D14"/>
    <w:rsid w:val="00B62467"/>
    <w:rsid w:val="00B73D48"/>
    <w:rsid w:val="00BA35D2"/>
    <w:rsid w:val="00BC22C2"/>
    <w:rsid w:val="00BD20CA"/>
    <w:rsid w:val="00BD7489"/>
    <w:rsid w:val="00C00C95"/>
    <w:rsid w:val="00C22F73"/>
    <w:rsid w:val="00C2409A"/>
    <w:rsid w:val="00C24E98"/>
    <w:rsid w:val="00C25BEF"/>
    <w:rsid w:val="00C46BBC"/>
    <w:rsid w:val="00C52E69"/>
    <w:rsid w:val="00C80E53"/>
    <w:rsid w:val="00C83BE0"/>
    <w:rsid w:val="00CD264E"/>
    <w:rsid w:val="00D048B6"/>
    <w:rsid w:val="00D072A7"/>
    <w:rsid w:val="00D22235"/>
    <w:rsid w:val="00D44A44"/>
    <w:rsid w:val="00D57CFC"/>
    <w:rsid w:val="00D833F4"/>
    <w:rsid w:val="00D853AF"/>
    <w:rsid w:val="00D92A1A"/>
    <w:rsid w:val="00DE38F9"/>
    <w:rsid w:val="00DE79EC"/>
    <w:rsid w:val="00DF093B"/>
    <w:rsid w:val="00DF5142"/>
    <w:rsid w:val="00DF56B1"/>
    <w:rsid w:val="00DF5EFA"/>
    <w:rsid w:val="00E16C46"/>
    <w:rsid w:val="00E7361E"/>
    <w:rsid w:val="00E76BE7"/>
    <w:rsid w:val="00E8371A"/>
    <w:rsid w:val="00E91110"/>
    <w:rsid w:val="00EC50DC"/>
    <w:rsid w:val="00EE2B4F"/>
    <w:rsid w:val="00EF294C"/>
    <w:rsid w:val="00EF507E"/>
    <w:rsid w:val="00EF7945"/>
    <w:rsid w:val="00F73967"/>
    <w:rsid w:val="00F77CB8"/>
    <w:rsid w:val="00FA0365"/>
    <w:rsid w:val="00FD0553"/>
    <w:rsid w:val="00FE2548"/>
    <w:rsid w:val="00FE6E66"/>
    <w:rsid w:val="00FF336A"/>
    <w:rsid w:val="00FF51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046DFA"/>
  <w15:chartTrackingRefBased/>
  <w15:docId w15:val="{FC51341F-CF57-4F64-A735-2841F0A20F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5B95"/>
    <w:pPr>
      <w:spacing w:after="0" w:line="480" w:lineRule="auto"/>
      <w:ind w:firstLine="360"/>
      <w:contextualSpacing/>
    </w:pPr>
    <w:rPr>
      <w:rFonts w:ascii="Times New Roman" w:hAnsi="Times New Roman"/>
      <w:kern w:val="20"/>
      <w:sz w:val="24"/>
      <w:szCs w:val="20"/>
      <w:lang w:eastAsia="ja-JP"/>
    </w:rPr>
  </w:style>
  <w:style w:type="paragraph" w:styleId="Heading1">
    <w:name w:val="heading 1"/>
    <w:aliases w:val="H1-edit"/>
    <w:basedOn w:val="Title"/>
    <w:next w:val="Normal"/>
    <w:link w:val="Heading1Char"/>
    <w:uiPriority w:val="9"/>
    <w:qFormat/>
    <w:rsid w:val="003E5B95"/>
    <w:pPr>
      <w:keepNext/>
      <w:keepLines/>
      <w:outlineLvl w:val="0"/>
    </w:pPr>
    <w:rPr>
      <w:szCs w:val="32"/>
    </w:rPr>
  </w:style>
  <w:style w:type="paragraph" w:styleId="Heading2">
    <w:name w:val="heading 2"/>
    <w:aliases w:val="H2"/>
    <w:basedOn w:val="Normal"/>
    <w:next w:val="Normal"/>
    <w:link w:val="Heading2Char"/>
    <w:uiPriority w:val="9"/>
    <w:unhideWhenUsed/>
    <w:qFormat/>
    <w:rsid w:val="003E5B95"/>
    <w:pPr>
      <w:keepNext/>
      <w:keepLines/>
      <w:ind w:firstLine="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3E5B95"/>
    <w:pPr>
      <w:contextualSpacing w:val="0"/>
      <w:outlineLvl w:val="2"/>
    </w:pPr>
    <w:rPr>
      <w:b/>
      <w:bCs/>
    </w:rPr>
  </w:style>
  <w:style w:type="paragraph" w:styleId="Heading4">
    <w:name w:val="heading 4"/>
    <w:basedOn w:val="Normal"/>
    <w:next w:val="Normal"/>
    <w:link w:val="Heading4Char"/>
    <w:uiPriority w:val="9"/>
    <w:semiHidden/>
    <w:unhideWhenUsed/>
    <w:rsid w:val="003E5B95"/>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3E5B95"/>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3E5B95"/>
    <w:pPr>
      <w:keepNext/>
      <w:keepLines/>
      <w:spacing w:before="40"/>
      <w:ind w:left="1152" w:hanging="1152"/>
      <w:contextualSpacing w:val="0"/>
      <w:jc w:val="both"/>
      <w:outlineLvl w:val="5"/>
    </w:pPr>
    <w:rPr>
      <w:rFonts w:asciiTheme="majorHAnsi" w:eastAsiaTheme="majorEastAsia" w:hAnsiTheme="majorHAnsi" w:cstheme="majorBidi"/>
      <w:color w:val="1F3763" w:themeColor="accent1" w:themeShade="7F"/>
      <w:kern w:val="0"/>
      <w:sz w:val="22"/>
      <w:szCs w:val="22"/>
      <w:lang w:eastAsia="en-US"/>
    </w:rPr>
  </w:style>
  <w:style w:type="paragraph" w:styleId="Heading7">
    <w:name w:val="heading 7"/>
    <w:basedOn w:val="Normal"/>
    <w:next w:val="Normal"/>
    <w:link w:val="Heading7Char"/>
    <w:uiPriority w:val="9"/>
    <w:semiHidden/>
    <w:unhideWhenUsed/>
    <w:qFormat/>
    <w:rsid w:val="003E5B95"/>
    <w:pPr>
      <w:keepNext/>
      <w:keepLines/>
      <w:spacing w:before="40"/>
      <w:ind w:left="1296" w:hanging="1296"/>
      <w:contextualSpacing w:val="0"/>
      <w:jc w:val="both"/>
      <w:outlineLvl w:val="6"/>
    </w:pPr>
    <w:rPr>
      <w:rFonts w:asciiTheme="majorHAnsi" w:eastAsiaTheme="majorEastAsia" w:hAnsiTheme="majorHAnsi" w:cstheme="majorBidi"/>
      <w:i/>
      <w:iCs/>
      <w:color w:val="1F3763" w:themeColor="accent1" w:themeShade="7F"/>
      <w:kern w:val="0"/>
      <w:sz w:val="22"/>
      <w:szCs w:val="22"/>
      <w:lang w:eastAsia="en-US"/>
    </w:rPr>
  </w:style>
  <w:style w:type="paragraph" w:styleId="Heading8">
    <w:name w:val="heading 8"/>
    <w:basedOn w:val="Normal"/>
    <w:next w:val="Normal"/>
    <w:link w:val="Heading8Char"/>
    <w:uiPriority w:val="9"/>
    <w:semiHidden/>
    <w:unhideWhenUsed/>
    <w:qFormat/>
    <w:rsid w:val="003E5B95"/>
    <w:pPr>
      <w:keepNext/>
      <w:keepLines/>
      <w:spacing w:before="40"/>
      <w:ind w:left="1440" w:hanging="1440"/>
      <w:contextualSpacing w:val="0"/>
      <w:jc w:val="both"/>
      <w:outlineLvl w:val="7"/>
    </w:pPr>
    <w:rPr>
      <w:rFonts w:asciiTheme="majorHAnsi" w:eastAsiaTheme="majorEastAsia" w:hAnsiTheme="majorHAnsi" w:cstheme="majorBidi"/>
      <w:color w:val="272727" w:themeColor="text1" w:themeTint="D8"/>
      <w:kern w:val="0"/>
      <w:sz w:val="21"/>
      <w:szCs w:val="21"/>
      <w:lang w:eastAsia="en-US"/>
    </w:rPr>
  </w:style>
  <w:style w:type="paragraph" w:styleId="Heading9">
    <w:name w:val="heading 9"/>
    <w:basedOn w:val="Normal"/>
    <w:next w:val="Normal"/>
    <w:link w:val="Heading9Char"/>
    <w:uiPriority w:val="9"/>
    <w:semiHidden/>
    <w:unhideWhenUsed/>
    <w:qFormat/>
    <w:rsid w:val="003E5B95"/>
    <w:pPr>
      <w:keepNext/>
      <w:keepLines/>
      <w:spacing w:before="40"/>
      <w:ind w:left="1584" w:hanging="1584"/>
      <w:contextualSpacing w:val="0"/>
      <w:jc w:val="both"/>
      <w:outlineLvl w:val="8"/>
    </w:pPr>
    <w:rPr>
      <w:rFonts w:asciiTheme="majorHAnsi" w:eastAsiaTheme="majorEastAsia" w:hAnsiTheme="majorHAnsi" w:cstheme="majorBidi"/>
      <w:i/>
      <w:iCs/>
      <w:color w:val="272727" w:themeColor="text1" w:themeTint="D8"/>
      <w:kern w:val="0"/>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H1-edit Char"/>
    <w:basedOn w:val="DefaultParagraphFont"/>
    <w:link w:val="Heading1"/>
    <w:uiPriority w:val="9"/>
    <w:rsid w:val="003E5B95"/>
    <w:rPr>
      <w:rFonts w:ascii="Times New Roman" w:eastAsiaTheme="majorEastAsia" w:hAnsi="Times New Roman" w:cstheme="majorBidi"/>
      <w:caps/>
      <w:spacing w:val="-10"/>
      <w:kern w:val="28"/>
      <w:sz w:val="24"/>
      <w:szCs w:val="32"/>
      <w:lang w:eastAsia="ja-JP"/>
    </w:rPr>
  </w:style>
  <w:style w:type="character" w:customStyle="1" w:styleId="Heading2Char">
    <w:name w:val="Heading 2 Char"/>
    <w:aliases w:val="H2 Char"/>
    <w:basedOn w:val="DefaultParagraphFont"/>
    <w:link w:val="Heading2"/>
    <w:uiPriority w:val="9"/>
    <w:rsid w:val="003E5B95"/>
    <w:rPr>
      <w:rFonts w:ascii="Times New Roman" w:eastAsiaTheme="majorEastAsia" w:hAnsi="Times New Roman" w:cstheme="majorBidi"/>
      <w:b/>
      <w:kern w:val="20"/>
      <w:sz w:val="24"/>
      <w:szCs w:val="26"/>
      <w:lang w:eastAsia="ja-JP"/>
    </w:rPr>
  </w:style>
  <w:style w:type="character" w:customStyle="1" w:styleId="Heading3Char">
    <w:name w:val="Heading 3 Char"/>
    <w:basedOn w:val="DefaultParagraphFont"/>
    <w:link w:val="Heading3"/>
    <w:uiPriority w:val="9"/>
    <w:rsid w:val="003E5B95"/>
    <w:rPr>
      <w:rFonts w:ascii="Times New Roman" w:hAnsi="Times New Roman"/>
      <w:b/>
      <w:bCs/>
      <w:kern w:val="20"/>
      <w:sz w:val="24"/>
      <w:szCs w:val="20"/>
      <w:lang w:eastAsia="ja-JP"/>
    </w:rPr>
  </w:style>
  <w:style w:type="character" w:customStyle="1" w:styleId="Heading4Char">
    <w:name w:val="Heading 4 Char"/>
    <w:basedOn w:val="DefaultParagraphFont"/>
    <w:link w:val="Heading4"/>
    <w:uiPriority w:val="9"/>
    <w:semiHidden/>
    <w:rsid w:val="003E5B95"/>
    <w:rPr>
      <w:rFonts w:asciiTheme="majorHAnsi" w:eastAsiaTheme="majorEastAsia" w:hAnsiTheme="majorHAnsi" w:cstheme="majorBidi"/>
      <w:i/>
      <w:iCs/>
      <w:color w:val="2F5496" w:themeColor="accent1" w:themeShade="BF"/>
      <w:kern w:val="20"/>
      <w:sz w:val="24"/>
      <w:szCs w:val="20"/>
      <w:lang w:eastAsia="ja-JP"/>
    </w:rPr>
  </w:style>
  <w:style w:type="character" w:customStyle="1" w:styleId="Heading5Char">
    <w:name w:val="Heading 5 Char"/>
    <w:basedOn w:val="DefaultParagraphFont"/>
    <w:link w:val="Heading5"/>
    <w:uiPriority w:val="9"/>
    <w:semiHidden/>
    <w:rsid w:val="003E5B95"/>
    <w:rPr>
      <w:rFonts w:asciiTheme="majorHAnsi" w:eastAsiaTheme="majorEastAsia" w:hAnsiTheme="majorHAnsi" w:cstheme="majorBidi"/>
      <w:color w:val="2F5496" w:themeColor="accent1" w:themeShade="BF"/>
      <w:kern w:val="20"/>
      <w:sz w:val="24"/>
      <w:szCs w:val="20"/>
      <w:lang w:eastAsia="ja-JP"/>
    </w:rPr>
  </w:style>
  <w:style w:type="character" w:customStyle="1" w:styleId="Heading6Char">
    <w:name w:val="Heading 6 Char"/>
    <w:basedOn w:val="DefaultParagraphFont"/>
    <w:link w:val="Heading6"/>
    <w:uiPriority w:val="9"/>
    <w:semiHidden/>
    <w:rsid w:val="003E5B95"/>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3E5B95"/>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3E5B95"/>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3E5B95"/>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3E5B95"/>
    <w:pPr>
      <w:ind w:firstLine="0"/>
      <w:jc w:val="center"/>
    </w:pPr>
    <w:rPr>
      <w:rFonts w:eastAsiaTheme="majorEastAsia" w:cstheme="majorBidi"/>
      <w:caps/>
      <w:spacing w:val="-10"/>
      <w:kern w:val="28"/>
      <w:szCs w:val="56"/>
    </w:rPr>
  </w:style>
  <w:style w:type="character" w:customStyle="1" w:styleId="TitleChar">
    <w:name w:val="Title Char"/>
    <w:basedOn w:val="DefaultParagraphFont"/>
    <w:link w:val="Title"/>
    <w:uiPriority w:val="10"/>
    <w:rsid w:val="003E5B95"/>
    <w:rPr>
      <w:rFonts w:ascii="Times New Roman" w:eastAsiaTheme="majorEastAsia" w:hAnsi="Times New Roman" w:cstheme="majorBidi"/>
      <w:caps/>
      <w:spacing w:val="-10"/>
      <w:kern w:val="28"/>
      <w:sz w:val="24"/>
      <w:szCs w:val="56"/>
      <w:lang w:eastAsia="ja-JP"/>
    </w:rPr>
  </w:style>
  <w:style w:type="character" w:styleId="Emphasis">
    <w:name w:val="Emphasis"/>
    <w:basedOn w:val="DefaultParagraphFont"/>
    <w:uiPriority w:val="20"/>
    <w:qFormat/>
    <w:rsid w:val="003E5B95"/>
    <w:rPr>
      <w:i/>
      <w:iCs/>
    </w:rPr>
  </w:style>
  <w:style w:type="paragraph" w:styleId="Subtitle">
    <w:name w:val="Subtitle"/>
    <w:basedOn w:val="Normal"/>
    <w:next w:val="Normal"/>
    <w:link w:val="SubtitleChar"/>
    <w:uiPriority w:val="11"/>
    <w:rsid w:val="003E5B95"/>
    <w:pPr>
      <w:numPr>
        <w:ilvl w:val="1"/>
      </w:numPr>
      <w:spacing w:after="160"/>
      <w:ind w:firstLine="360"/>
    </w:pPr>
    <w:rPr>
      <w:rFonts w:asciiTheme="minorHAnsi" w:eastAsiaTheme="minorEastAsia" w:hAnsiTheme="minorHAnsi"/>
      <w:color w:val="5A5A5A" w:themeColor="text1" w:themeTint="A5"/>
      <w:spacing w:val="15"/>
      <w:szCs w:val="22"/>
    </w:rPr>
  </w:style>
  <w:style w:type="character" w:customStyle="1" w:styleId="SubtitleChar">
    <w:name w:val="Subtitle Char"/>
    <w:basedOn w:val="DefaultParagraphFont"/>
    <w:link w:val="Subtitle"/>
    <w:uiPriority w:val="11"/>
    <w:rsid w:val="003E5B95"/>
    <w:rPr>
      <w:rFonts w:eastAsiaTheme="minorEastAsia"/>
      <w:color w:val="5A5A5A" w:themeColor="text1" w:themeTint="A5"/>
      <w:spacing w:val="15"/>
      <w:kern w:val="20"/>
      <w:sz w:val="24"/>
      <w:lang w:eastAsia="ja-JP"/>
    </w:rPr>
  </w:style>
  <w:style w:type="paragraph" w:customStyle="1" w:styleId="H3">
    <w:name w:val="H3"/>
    <w:basedOn w:val="Heading3"/>
    <w:next w:val="Normal"/>
    <w:qFormat/>
    <w:rsid w:val="003E5B95"/>
    <w:pPr>
      <w:ind w:firstLine="0"/>
    </w:pPr>
    <w:rPr>
      <w:bCs w:val="0"/>
      <w:iCs/>
      <w:lang w:eastAsia="en-US"/>
    </w:rPr>
  </w:style>
  <w:style w:type="paragraph" w:customStyle="1" w:styleId="H4">
    <w:name w:val="H4"/>
    <w:basedOn w:val="Heading4"/>
    <w:next w:val="Normal"/>
    <w:qFormat/>
    <w:rsid w:val="003E5B95"/>
    <w:pPr>
      <w:spacing w:before="0"/>
    </w:pPr>
    <w:rPr>
      <w:rFonts w:ascii="Times New Roman" w:hAnsi="Times New Roman"/>
      <w:b/>
      <w:i w:val="0"/>
      <w:color w:val="auto"/>
    </w:rPr>
  </w:style>
  <w:style w:type="paragraph" w:customStyle="1" w:styleId="H5">
    <w:name w:val="H5"/>
    <w:basedOn w:val="Heading5"/>
    <w:next w:val="Normal"/>
    <w:qFormat/>
    <w:rsid w:val="003E5B95"/>
    <w:pPr>
      <w:spacing w:before="0"/>
    </w:pPr>
    <w:rPr>
      <w:rFonts w:ascii="Times New Roman" w:hAnsi="Times New Roman"/>
      <w:b/>
      <w:i/>
      <w:color w:val="auto"/>
    </w:rPr>
  </w:style>
  <w:style w:type="paragraph" w:customStyle="1" w:styleId="References">
    <w:name w:val="References"/>
    <w:basedOn w:val="Bibliography"/>
    <w:link w:val="ReferencesChar"/>
    <w:qFormat/>
    <w:rsid w:val="003E5B95"/>
    <w:pPr>
      <w:spacing w:after="240" w:line="240" w:lineRule="auto"/>
      <w:ind w:left="360" w:hanging="360"/>
      <w:contextualSpacing w:val="0"/>
    </w:pPr>
  </w:style>
  <w:style w:type="character" w:styleId="IntenseEmphasis">
    <w:name w:val="Intense Emphasis"/>
    <w:basedOn w:val="DefaultParagraphFont"/>
    <w:uiPriority w:val="21"/>
    <w:rsid w:val="003E5B95"/>
    <w:rPr>
      <w:i/>
      <w:iCs/>
      <w:color w:val="4472C4" w:themeColor="accent1"/>
    </w:rPr>
  </w:style>
  <w:style w:type="paragraph" w:styleId="Bibliography">
    <w:name w:val="Bibliography"/>
    <w:basedOn w:val="Normal"/>
    <w:next w:val="Normal"/>
    <w:link w:val="BibliographyChar"/>
    <w:uiPriority w:val="37"/>
    <w:semiHidden/>
    <w:unhideWhenUsed/>
    <w:rsid w:val="003E5B95"/>
  </w:style>
  <w:style w:type="character" w:customStyle="1" w:styleId="BibliographyChar">
    <w:name w:val="Bibliography Char"/>
    <w:basedOn w:val="DefaultParagraphFont"/>
    <w:link w:val="Bibliography"/>
    <w:uiPriority w:val="37"/>
    <w:semiHidden/>
    <w:rsid w:val="003E5B95"/>
    <w:rPr>
      <w:rFonts w:ascii="Times New Roman" w:hAnsi="Times New Roman"/>
      <w:kern w:val="20"/>
      <w:sz w:val="24"/>
      <w:szCs w:val="20"/>
      <w:lang w:eastAsia="ja-JP"/>
    </w:rPr>
  </w:style>
  <w:style w:type="character" w:customStyle="1" w:styleId="ReferencesChar">
    <w:name w:val="References Char"/>
    <w:basedOn w:val="BibliographyChar"/>
    <w:link w:val="References"/>
    <w:rsid w:val="003E5B95"/>
    <w:rPr>
      <w:rFonts w:ascii="Times New Roman" w:hAnsi="Times New Roman"/>
      <w:kern w:val="20"/>
      <w:sz w:val="24"/>
      <w:szCs w:val="20"/>
      <w:lang w:eastAsia="ja-JP"/>
    </w:rPr>
  </w:style>
  <w:style w:type="paragraph" w:customStyle="1" w:styleId="TableTitle">
    <w:name w:val="Table Title"/>
    <w:basedOn w:val="Normal"/>
    <w:next w:val="Normal"/>
    <w:link w:val="TableTitleChar"/>
    <w:qFormat/>
    <w:rsid w:val="003E5B95"/>
    <w:pPr>
      <w:ind w:firstLine="0"/>
    </w:pPr>
    <w:rPr>
      <w:i/>
      <w:sz w:val="22"/>
    </w:rPr>
  </w:style>
  <w:style w:type="paragraph" w:customStyle="1" w:styleId="TableNorm">
    <w:name w:val="Table Norm"/>
    <w:basedOn w:val="Normal"/>
    <w:link w:val="TableNormChar"/>
    <w:qFormat/>
    <w:rsid w:val="003E5B95"/>
    <w:pPr>
      <w:spacing w:line="240" w:lineRule="auto"/>
      <w:ind w:firstLine="0"/>
    </w:pPr>
  </w:style>
  <w:style w:type="character" w:customStyle="1" w:styleId="TableTitleChar">
    <w:name w:val="Table Title Char"/>
    <w:basedOn w:val="DefaultParagraphFont"/>
    <w:link w:val="TableTitle"/>
    <w:rsid w:val="003E5B95"/>
    <w:rPr>
      <w:rFonts w:ascii="Times New Roman" w:hAnsi="Times New Roman"/>
      <w:i/>
      <w:kern w:val="20"/>
      <w:szCs w:val="20"/>
      <w:lang w:eastAsia="ja-JP"/>
    </w:rPr>
  </w:style>
  <w:style w:type="paragraph" w:styleId="ListParagraph">
    <w:name w:val="List Paragraph"/>
    <w:basedOn w:val="Normal"/>
    <w:uiPriority w:val="34"/>
    <w:qFormat/>
    <w:rsid w:val="003E5B95"/>
    <w:pPr>
      <w:spacing w:line="276" w:lineRule="auto"/>
      <w:ind w:left="720" w:firstLine="0"/>
    </w:pPr>
    <w:rPr>
      <w:rFonts w:ascii="Georgia" w:hAnsi="Georgia"/>
      <w:sz w:val="20"/>
    </w:rPr>
  </w:style>
  <w:style w:type="character" w:customStyle="1" w:styleId="TableNormChar">
    <w:name w:val="Table Norm Char"/>
    <w:basedOn w:val="Heading3Char"/>
    <w:link w:val="TableNorm"/>
    <w:rsid w:val="003E5B95"/>
    <w:rPr>
      <w:rFonts w:ascii="Times New Roman" w:hAnsi="Times New Roman"/>
      <w:b w:val="0"/>
      <w:bCs w:val="0"/>
      <w:kern w:val="20"/>
      <w:sz w:val="24"/>
      <w:szCs w:val="20"/>
      <w:lang w:eastAsia="ja-JP"/>
    </w:rPr>
  </w:style>
  <w:style w:type="table" w:styleId="TableGrid">
    <w:name w:val="Table Grid"/>
    <w:basedOn w:val="TableNormal"/>
    <w:uiPriority w:val="39"/>
    <w:rsid w:val="003E5B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5">
    <w:name w:val="Plain Table 5"/>
    <w:basedOn w:val="TableNormal"/>
    <w:uiPriority w:val="45"/>
    <w:rsid w:val="003E5B95"/>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Caption">
    <w:name w:val="caption"/>
    <w:aliases w:val="Caption-edit"/>
    <w:basedOn w:val="Normal"/>
    <w:next w:val="Normal"/>
    <w:uiPriority w:val="35"/>
    <w:unhideWhenUsed/>
    <w:qFormat/>
    <w:rsid w:val="003E5B95"/>
    <w:pPr>
      <w:spacing w:after="200" w:line="240" w:lineRule="auto"/>
      <w:ind w:firstLine="0"/>
    </w:pPr>
    <w:rPr>
      <w:b/>
      <w:iCs/>
      <w:sz w:val="22"/>
      <w:szCs w:val="22"/>
    </w:rPr>
  </w:style>
  <w:style w:type="paragraph" w:styleId="BalloonText">
    <w:name w:val="Balloon Text"/>
    <w:basedOn w:val="Normal"/>
    <w:link w:val="BalloonTextChar"/>
    <w:uiPriority w:val="99"/>
    <w:semiHidden/>
    <w:unhideWhenUsed/>
    <w:rsid w:val="003E5B95"/>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5B95"/>
    <w:rPr>
      <w:rFonts w:ascii="Segoe UI" w:hAnsi="Segoe UI" w:cs="Segoe UI"/>
      <w:kern w:val="20"/>
      <w:sz w:val="18"/>
      <w:szCs w:val="18"/>
      <w:lang w:eastAsia="ja-JP"/>
    </w:rPr>
  </w:style>
  <w:style w:type="paragraph" w:styleId="Header">
    <w:name w:val="header"/>
    <w:basedOn w:val="Normal"/>
    <w:link w:val="HeaderChar"/>
    <w:uiPriority w:val="99"/>
    <w:unhideWhenUsed/>
    <w:rsid w:val="003E5B95"/>
    <w:pPr>
      <w:tabs>
        <w:tab w:val="center" w:pos="4680"/>
        <w:tab w:val="right" w:pos="9360"/>
      </w:tabs>
      <w:spacing w:line="240" w:lineRule="auto"/>
    </w:pPr>
  </w:style>
  <w:style w:type="character" w:customStyle="1" w:styleId="HeaderChar">
    <w:name w:val="Header Char"/>
    <w:basedOn w:val="DefaultParagraphFont"/>
    <w:link w:val="Header"/>
    <w:uiPriority w:val="99"/>
    <w:rsid w:val="003E5B95"/>
    <w:rPr>
      <w:rFonts w:ascii="Times New Roman" w:hAnsi="Times New Roman"/>
      <w:kern w:val="20"/>
      <w:sz w:val="24"/>
      <w:szCs w:val="20"/>
      <w:lang w:eastAsia="ja-JP"/>
    </w:rPr>
  </w:style>
  <w:style w:type="paragraph" w:styleId="Footer">
    <w:name w:val="footer"/>
    <w:basedOn w:val="Normal"/>
    <w:link w:val="FooterChar"/>
    <w:uiPriority w:val="99"/>
    <w:unhideWhenUsed/>
    <w:rsid w:val="003E5B95"/>
    <w:pPr>
      <w:tabs>
        <w:tab w:val="center" w:pos="4680"/>
        <w:tab w:val="right" w:pos="9360"/>
      </w:tabs>
      <w:spacing w:line="240" w:lineRule="auto"/>
    </w:pPr>
  </w:style>
  <w:style w:type="character" w:customStyle="1" w:styleId="FooterChar">
    <w:name w:val="Footer Char"/>
    <w:basedOn w:val="DefaultParagraphFont"/>
    <w:link w:val="Footer"/>
    <w:uiPriority w:val="99"/>
    <w:rsid w:val="003E5B95"/>
    <w:rPr>
      <w:rFonts w:ascii="Times New Roman" w:hAnsi="Times New Roman"/>
      <w:kern w:val="20"/>
      <w:sz w:val="24"/>
      <w:szCs w:val="20"/>
      <w:lang w:eastAsia="ja-JP"/>
    </w:rPr>
  </w:style>
  <w:style w:type="character" w:styleId="CommentReference">
    <w:name w:val="annotation reference"/>
    <w:basedOn w:val="DefaultParagraphFont"/>
    <w:uiPriority w:val="99"/>
    <w:semiHidden/>
    <w:unhideWhenUsed/>
    <w:rsid w:val="003E5B95"/>
    <w:rPr>
      <w:sz w:val="16"/>
      <w:szCs w:val="16"/>
    </w:rPr>
  </w:style>
  <w:style w:type="paragraph" w:styleId="CommentText">
    <w:name w:val="annotation text"/>
    <w:basedOn w:val="Normal"/>
    <w:link w:val="CommentTextChar"/>
    <w:uiPriority w:val="99"/>
    <w:unhideWhenUsed/>
    <w:rsid w:val="003E5B95"/>
    <w:pPr>
      <w:spacing w:line="240" w:lineRule="auto"/>
    </w:pPr>
    <w:rPr>
      <w:sz w:val="20"/>
    </w:rPr>
  </w:style>
  <w:style w:type="character" w:customStyle="1" w:styleId="CommentTextChar">
    <w:name w:val="Comment Text Char"/>
    <w:basedOn w:val="DefaultParagraphFont"/>
    <w:link w:val="CommentText"/>
    <w:uiPriority w:val="99"/>
    <w:rsid w:val="003E5B95"/>
    <w:rPr>
      <w:rFonts w:ascii="Times New Roman" w:hAnsi="Times New Roman"/>
      <w:kern w:val="20"/>
      <w:sz w:val="20"/>
      <w:szCs w:val="20"/>
      <w:lang w:eastAsia="ja-JP"/>
    </w:rPr>
  </w:style>
  <w:style w:type="paragraph" w:styleId="CommentSubject">
    <w:name w:val="annotation subject"/>
    <w:basedOn w:val="CommentText"/>
    <w:next w:val="CommentText"/>
    <w:link w:val="CommentSubjectChar"/>
    <w:uiPriority w:val="99"/>
    <w:semiHidden/>
    <w:unhideWhenUsed/>
    <w:rsid w:val="003E5B95"/>
    <w:rPr>
      <w:b/>
      <w:bCs/>
    </w:rPr>
  </w:style>
  <w:style w:type="character" w:customStyle="1" w:styleId="CommentSubjectChar">
    <w:name w:val="Comment Subject Char"/>
    <w:basedOn w:val="CommentTextChar"/>
    <w:link w:val="CommentSubject"/>
    <w:uiPriority w:val="99"/>
    <w:semiHidden/>
    <w:rsid w:val="003E5B95"/>
    <w:rPr>
      <w:rFonts w:ascii="Times New Roman" w:hAnsi="Times New Roman"/>
      <w:b/>
      <w:bCs/>
      <w:kern w:val="20"/>
      <w:sz w:val="20"/>
      <w:szCs w:val="20"/>
      <w:lang w:eastAsia="ja-JP"/>
    </w:rPr>
  </w:style>
  <w:style w:type="paragraph" w:styleId="TOCHeading">
    <w:name w:val="TOC Heading"/>
    <w:basedOn w:val="Heading1"/>
    <w:next w:val="Normal"/>
    <w:uiPriority w:val="39"/>
    <w:unhideWhenUsed/>
    <w:qFormat/>
    <w:rsid w:val="003E5B95"/>
    <w:pPr>
      <w:spacing w:before="240" w:line="259" w:lineRule="auto"/>
      <w:contextualSpacing w:val="0"/>
      <w:jc w:val="left"/>
      <w:outlineLvl w:val="9"/>
    </w:pPr>
    <w:rPr>
      <w:rFonts w:asciiTheme="majorHAnsi" w:hAnsiTheme="majorHAnsi"/>
      <w:b/>
      <w:color w:val="2F5496" w:themeColor="accent1" w:themeShade="BF"/>
      <w:kern w:val="0"/>
      <w:sz w:val="32"/>
      <w:lang w:eastAsia="en-US"/>
    </w:rPr>
  </w:style>
  <w:style w:type="paragraph" w:styleId="TOC1">
    <w:name w:val="toc 1"/>
    <w:basedOn w:val="Normal"/>
    <w:next w:val="Normal"/>
    <w:autoRedefine/>
    <w:uiPriority w:val="39"/>
    <w:unhideWhenUsed/>
    <w:rsid w:val="00A20AAF"/>
    <w:pPr>
      <w:tabs>
        <w:tab w:val="right" w:leader="dot" w:pos="9350"/>
      </w:tabs>
      <w:spacing w:after="240" w:line="240" w:lineRule="auto"/>
      <w:ind w:left="360" w:firstLine="0"/>
      <w:contextualSpacing w:val="0"/>
    </w:pPr>
    <w:rPr>
      <w:noProof/>
    </w:rPr>
  </w:style>
  <w:style w:type="character" w:styleId="Hyperlink">
    <w:name w:val="Hyperlink"/>
    <w:basedOn w:val="DefaultParagraphFont"/>
    <w:uiPriority w:val="99"/>
    <w:unhideWhenUsed/>
    <w:rsid w:val="003E5B95"/>
    <w:rPr>
      <w:color w:val="0563C1" w:themeColor="hyperlink"/>
      <w:u w:val="single"/>
    </w:rPr>
  </w:style>
  <w:style w:type="paragraph" w:styleId="TableofFigures">
    <w:name w:val="table of figures"/>
    <w:aliases w:val="List of Tables"/>
    <w:basedOn w:val="Normal"/>
    <w:next w:val="Normal"/>
    <w:uiPriority w:val="99"/>
    <w:unhideWhenUsed/>
    <w:rsid w:val="003E5B95"/>
    <w:pPr>
      <w:ind w:left="480" w:hanging="480"/>
    </w:pPr>
    <w:rPr>
      <w:rFonts w:cstheme="minorHAnsi"/>
      <w:b/>
      <w:bCs/>
    </w:rPr>
  </w:style>
  <w:style w:type="paragraph" w:styleId="TOC2">
    <w:name w:val="toc 2"/>
    <w:basedOn w:val="Normal"/>
    <w:next w:val="Normal"/>
    <w:autoRedefine/>
    <w:uiPriority w:val="39"/>
    <w:unhideWhenUsed/>
    <w:rsid w:val="003E5B95"/>
    <w:pPr>
      <w:tabs>
        <w:tab w:val="right" w:leader="dot" w:pos="9350"/>
      </w:tabs>
      <w:spacing w:afterLines="160" w:after="384" w:line="240" w:lineRule="auto"/>
      <w:ind w:left="540" w:firstLine="0"/>
      <w:contextualSpacing w:val="0"/>
    </w:pPr>
  </w:style>
  <w:style w:type="numbering" w:customStyle="1" w:styleId="NoList1">
    <w:name w:val="No List1"/>
    <w:next w:val="NoList"/>
    <w:uiPriority w:val="99"/>
    <w:semiHidden/>
    <w:unhideWhenUsed/>
    <w:rsid w:val="003E5B95"/>
  </w:style>
  <w:style w:type="paragraph" w:customStyle="1" w:styleId="Ref">
    <w:name w:val="Ref"/>
    <w:basedOn w:val="TableNorm"/>
    <w:link w:val="RefChar"/>
    <w:rsid w:val="003E5B95"/>
    <w:pPr>
      <w:spacing w:after="240"/>
    </w:pPr>
    <w:rPr>
      <w:rFonts w:eastAsiaTheme="majorEastAsia" w:cstheme="majorBidi"/>
      <w:color w:val="1F3763" w:themeColor="accent1" w:themeShade="7F"/>
    </w:rPr>
  </w:style>
  <w:style w:type="character" w:customStyle="1" w:styleId="RefChar">
    <w:name w:val="Ref Char"/>
    <w:basedOn w:val="TableNormChar"/>
    <w:link w:val="Ref"/>
    <w:rsid w:val="003E5B95"/>
    <w:rPr>
      <w:rFonts w:ascii="Times New Roman" w:eastAsiaTheme="majorEastAsia" w:hAnsi="Times New Roman" w:cstheme="majorBidi"/>
      <w:b w:val="0"/>
      <w:bCs w:val="0"/>
      <w:color w:val="1F3763" w:themeColor="accent1" w:themeShade="7F"/>
      <w:kern w:val="20"/>
      <w:sz w:val="24"/>
      <w:szCs w:val="20"/>
      <w:lang w:eastAsia="ja-JP"/>
    </w:rPr>
  </w:style>
  <w:style w:type="paragraph" w:styleId="TOC3">
    <w:name w:val="toc 3"/>
    <w:basedOn w:val="Normal"/>
    <w:next w:val="Normal"/>
    <w:autoRedefine/>
    <w:uiPriority w:val="39"/>
    <w:unhideWhenUsed/>
    <w:rsid w:val="003E5B95"/>
    <w:pPr>
      <w:tabs>
        <w:tab w:val="right" w:leader="dot" w:pos="9350"/>
      </w:tabs>
      <w:spacing w:after="240" w:line="240" w:lineRule="auto"/>
      <w:ind w:left="806" w:firstLine="0"/>
    </w:pPr>
  </w:style>
  <w:style w:type="paragraph" w:customStyle="1" w:styleId="FigureTitle">
    <w:name w:val="Figure Title"/>
    <w:basedOn w:val="TableTitle"/>
    <w:link w:val="FigureTitleChar"/>
    <w:qFormat/>
    <w:rsid w:val="003E5B95"/>
    <w:pPr>
      <w:spacing w:after="160" w:line="259" w:lineRule="auto"/>
      <w:contextualSpacing w:val="0"/>
    </w:pPr>
  </w:style>
  <w:style w:type="paragraph" w:customStyle="1" w:styleId="TableFigureLabel">
    <w:name w:val="Table Figure Label"/>
    <w:basedOn w:val="FigureTitle"/>
    <w:link w:val="TableFigureLabelChar"/>
    <w:qFormat/>
    <w:rsid w:val="003E5B95"/>
    <w:pPr>
      <w:spacing w:after="0" w:line="480" w:lineRule="auto"/>
    </w:pPr>
    <w:rPr>
      <w:b/>
      <w:i w:val="0"/>
    </w:rPr>
  </w:style>
  <w:style w:type="character" w:customStyle="1" w:styleId="FigureTitleChar">
    <w:name w:val="Figure Title Char"/>
    <w:basedOn w:val="TableTitleChar"/>
    <w:link w:val="FigureTitle"/>
    <w:rsid w:val="003E5B95"/>
    <w:rPr>
      <w:rFonts w:ascii="Times New Roman" w:hAnsi="Times New Roman"/>
      <w:i/>
      <w:kern w:val="20"/>
      <w:szCs w:val="20"/>
      <w:lang w:eastAsia="ja-JP"/>
    </w:rPr>
  </w:style>
  <w:style w:type="paragraph" w:customStyle="1" w:styleId="TableFigureTitle">
    <w:name w:val="Table Figure Title"/>
    <w:basedOn w:val="Normal"/>
    <w:next w:val="Normal"/>
    <w:link w:val="TableFigureTitleChar"/>
    <w:qFormat/>
    <w:rsid w:val="003E5B95"/>
    <w:pPr>
      <w:ind w:firstLine="0"/>
    </w:pPr>
    <w:rPr>
      <w:i/>
      <w:sz w:val="22"/>
    </w:rPr>
  </w:style>
  <w:style w:type="character" w:customStyle="1" w:styleId="TableFigureLabelChar">
    <w:name w:val="Table Figure Label Char"/>
    <w:basedOn w:val="FigureTitleChar"/>
    <w:link w:val="TableFigureLabel"/>
    <w:rsid w:val="003E5B95"/>
    <w:rPr>
      <w:rFonts w:ascii="Times New Roman" w:hAnsi="Times New Roman"/>
      <w:b/>
      <w:i w:val="0"/>
      <w:kern w:val="20"/>
      <w:szCs w:val="20"/>
      <w:lang w:eastAsia="ja-JP"/>
    </w:rPr>
  </w:style>
  <w:style w:type="character" w:customStyle="1" w:styleId="TableFigureTitleChar">
    <w:name w:val="Table Figure Title Char"/>
    <w:basedOn w:val="DefaultParagraphFont"/>
    <w:link w:val="TableFigureTitle"/>
    <w:rsid w:val="003E5B95"/>
    <w:rPr>
      <w:rFonts w:ascii="Times New Roman" w:hAnsi="Times New Roman"/>
      <w:i/>
      <w:kern w:val="20"/>
      <w:szCs w:val="20"/>
      <w:lang w:eastAsia="ja-JP"/>
    </w:rPr>
  </w:style>
  <w:style w:type="table" w:styleId="PlainTable4">
    <w:name w:val="Plain Table 4"/>
    <w:basedOn w:val="TableNormal"/>
    <w:uiPriority w:val="44"/>
    <w:rsid w:val="003E5B9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3">
    <w:name w:val="Plain Table 3"/>
    <w:basedOn w:val="TableNormal"/>
    <w:uiPriority w:val="43"/>
    <w:rsid w:val="003E5B95"/>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customStyle="1" w:styleId="TableNote">
    <w:name w:val="Table Note"/>
    <w:basedOn w:val="Normal"/>
    <w:link w:val="TableNoteChar"/>
    <w:qFormat/>
    <w:rsid w:val="003E5B95"/>
    <w:pPr>
      <w:ind w:firstLine="0"/>
    </w:pPr>
    <w:rPr>
      <w:sz w:val="18"/>
    </w:rPr>
  </w:style>
  <w:style w:type="character" w:customStyle="1" w:styleId="TableNoteChar">
    <w:name w:val="Table Note Char"/>
    <w:basedOn w:val="DefaultParagraphFont"/>
    <w:link w:val="TableNote"/>
    <w:rsid w:val="003E5B95"/>
    <w:rPr>
      <w:rFonts w:ascii="Times New Roman" w:hAnsi="Times New Roman"/>
      <w:kern w:val="20"/>
      <w:sz w:val="18"/>
      <w:szCs w:val="20"/>
      <w:lang w:eastAsia="ja-JP"/>
    </w:rPr>
  </w:style>
  <w:style w:type="paragraph" w:styleId="TOC4">
    <w:name w:val="toc 4"/>
    <w:basedOn w:val="Normal"/>
    <w:next w:val="Normal"/>
    <w:autoRedefine/>
    <w:uiPriority w:val="39"/>
    <w:unhideWhenUsed/>
    <w:rsid w:val="003E5B95"/>
    <w:pPr>
      <w:spacing w:after="100"/>
      <w:ind w:left="720"/>
    </w:pPr>
  </w:style>
  <w:style w:type="paragraph" w:styleId="TOC5">
    <w:name w:val="toc 5"/>
    <w:basedOn w:val="Normal"/>
    <w:next w:val="Normal"/>
    <w:autoRedefine/>
    <w:uiPriority w:val="39"/>
    <w:unhideWhenUsed/>
    <w:rsid w:val="003E5B95"/>
    <w:pPr>
      <w:spacing w:after="100"/>
      <w:ind w:left="960"/>
    </w:pPr>
  </w:style>
  <w:style w:type="paragraph" w:styleId="TOC6">
    <w:name w:val="toc 6"/>
    <w:basedOn w:val="Normal"/>
    <w:next w:val="Normal"/>
    <w:autoRedefine/>
    <w:uiPriority w:val="39"/>
    <w:unhideWhenUsed/>
    <w:rsid w:val="003E5B95"/>
    <w:pPr>
      <w:spacing w:after="100" w:line="259" w:lineRule="auto"/>
      <w:ind w:left="1100" w:firstLine="0"/>
      <w:contextualSpacing w:val="0"/>
    </w:pPr>
    <w:rPr>
      <w:rFonts w:asciiTheme="minorHAnsi" w:eastAsiaTheme="minorEastAsia" w:hAnsiTheme="minorHAnsi"/>
      <w:kern w:val="0"/>
      <w:sz w:val="22"/>
      <w:szCs w:val="22"/>
      <w:lang w:eastAsia="en-US"/>
    </w:rPr>
  </w:style>
  <w:style w:type="paragraph" w:styleId="TOC7">
    <w:name w:val="toc 7"/>
    <w:basedOn w:val="Normal"/>
    <w:next w:val="Normal"/>
    <w:autoRedefine/>
    <w:uiPriority w:val="39"/>
    <w:unhideWhenUsed/>
    <w:rsid w:val="003E5B95"/>
    <w:pPr>
      <w:spacing w:after="100" w:line="259" w:lineRule="auto"/>
      <w:ind w:left="1320" w:firstLine="0"/>
      <w:contextualSpacing w:val="0"/>
    </w:pPr>
    <w:rPr>
      <w:rFonts w:asciiTheme="minorHAnsi" w:eastAsiaTheme="minorEastAsia" w:hAnsiTheme="minorHAnsi"/>
      <w:kern w:val="0"/>
      <w:sz w:val="22"/>
      <w:szCs w:val="22"/>
      <w:lang w:eastAsia="en-US"/>
    </w:rPr>
  </w:style>
  <w:style w:type="paragraph" w:styleId="TOC8">
    <w:name w:val="toc 8"/>
    <w:basedOn w:val="Normal"/>
    <w:next w:val="Normal"/>
    <w:autoRedefine/>
    <w:uiPriority w:val="39"/>
    <w:unhideWhenUsed/>
    <w:rsid w:val="003E5B95"/>
    <w:pPr>
      <w:spacing w:after="100" w:line="259" w:lineRule="auto"/>
      <w:ind w:left="1540" w:firstLine="0"/>
      <w:contextualSpacing w:val="0"/>
    </w:pPr>
    <w:rPr>
      <w:rFonts w:asciiTheme="minorHAnsi" w:eastAsiaTheme="minorEastAsia" w:hAnsiTheme="minorHAnsi"/>
      <w:kern w:val="0"/>
      <w:sz w:val="22"/>
      <w:szCs w:val="22"/>
      <w:lang w:eastAsia="en-US"/>
    </w:rPr>
  </w:style>
  <w:style w:type="paragraph" w:styleId="TOC9">
    <w:name w:val="toc 9"/>
    <w:basedOn w:val="Normal"/>
    <w:next w:val="Normal"/>
    <w:autoRedefine/>
    <w:uiPriority w:val="39"/>
    <w:unhideWhenUsed/>
    <w:rsid w:val="003E5B95"/>
    <w:pPr>
      <w:spacing w:after="100" w:line="259" w:lineRule="auto"/>
      <w:ind w:left="1760" w:firstLine="0"/>
      <w:contextualSpacing w:val="0"/>
    </w:pPr>
    <w:rPr>
      <w:rFonts w:asciiTheme="minorHAnsi" w:eastAsiaTheme="minorEastAsia" w:hAnsiTheme="minorHAnsi"/>
      <w:kern w:val="0"/>
      <w:sz w:val="22"/>
      <w:szCs w:val="22"/>
      <w:lang w:eastAsia="en-US"/>
    </w:rPr>
  </w:style>
  <w:style w:type="character" w:customStyle="1" w:styleId="UnresolvedMention1">
    <w:name w:val="Unresolved Mention1"/>
    <w:basedOn w:val="DefaultParagraphFont"/>
    <w:uiPriority w:val="99"/>
    <w:semiHidden/>
    <w:unhideWhenUsed/>
    <w:rsid w:val="003E5B95"/>
    <w:rPr>
      <w:color w:val="605E5C"/>
      <w:shd w:val="clear" w:color="auto" w:fill="E1DFDD"/>
    </w:rPr>
  </w:style>
  <w:style w:type="paragraph" w:customStyle="1" w:styleId="EndNoteBibliographyTitle">
    <w:name w:val="EndNote Bibliography Title"/>
    <w:basedOn w:val="Normal"/>
    <w:link w:val="EndNoteBibliographyTitleChar"/>
    <w:rsid w:val="003E5B95"/>
    <w:pPr>
      <w:spacing w:line="259" w:lineRule="auto"/>
      <w:ind w:firstLine="0"/>
      <w:contextualSpacing w:val="0"/>
      <w:jc w:val="center"/>
    </w:pPr>
    <w:rPr>
      <w:rFonts w:cs="Times New Roman"/>
      <w:noProof/>
      <w:kern w:val="0"/>
      <w:szCs w:val="22"/>
      <w:lang w:eastAsia="en-US"/>
    </w:rPr>
  </w:style>
  <w:style w:type="character" w:customStyle="1" w:styleId="EndNoteBibliographyTitleChar">
    <w:name w:val="EndNote Bibliography Title Char"/>
    <w:basedOn w:val="DefaultParagraphFont"/>
    <w:link w:val="EndNoteBibliographyTitle"/>
    <w:rsid w:val="003E5B95"/>
    <w:rPr>
      <w:rFonts w:ascii="Times New Roman" w:hAnsi="Times New Roman" w:cs="Times New Roman"/>
      <w:noProof/>
      <w:sz w:val="24"/>
    </w:rPr>
  </w:style>
  <w:style w:type="paragraph" w:customStyle="1" w:styleId="EndNoteBibliography">
    <w:name w:val="EndNote Bibliography"/>
    <w:basedOn w:val="Normal"/>
    <w:link w:val="EndNoteBibliographyChar"/>
    <w:rsid w:val="003E5B95"/>
    <w:pPr>
      <w:spacing w:after="160" w:line="240" w:lineRule="auto"/>
      <w:ind w:firstLine="0"/>
      <w:contextualSpacing w:val="0"/>
    </w:pPr>
    <w:rPr>
      <w:rFonts w:cs="Times New Roman"/>
      <w:noProof/>
      <w:kern w:val="0"/>
      <w:szCs w:val="22"/>
      <w:lang w:eastAsia="en-US"/>
    </w:rPr>
  </w:style>
  <w:style w:type="character" w:customStyle="1" w:styleId="EndNoteBibliographyChar">
    <w:name w:val="EndNote Bibliography Char"/>
    <w:basedOn w:val="DefaultParagraphFont"/>
    <w:link w:val="EndNoteBibliography"/>
    <w:rsid w:val="003E5B95"/>
    <w:rPr>
      <w:rFonts w:ascii="Times New Roman" w:hAnsi="Times New Roman" w:cs="Times New Roman"/>
      <w:noProof/>
      <w:sz w:val="24"/>
    </w:rPr>
  </w:style>
  <w:style w:type="character" w:customStyle="1" w:styleId="UnresolvedMention10">
    <w:name w:val="Unresolved Mention1"/>
    <w:basedOn w:val="DefaultParagraphFont"/>
    <w:uiPriority w:val="99"/>
    <w:semiHidden/>
    <w:unhideWhenUsed/>
    <w:rsid w:val="003E5B95"/>
    <w:rPr>
      <w:color w:val="605E5C"/>
      <w:shd w:val="clear" w:color="auto" w:fill="E1DFDD"/>
    </w:rPr>
  </w:style>
  <w:style w:type="paragraph" w:styleId="FootnoteText">
    <w:name w:val="footnote text"/>
    <w:basedOn w:val="Normal"/>
    <w:link w:val="FootnoteTextChar"/>
    <w:uiPriority w:val="99"/>
    <w:semiHidden/>
    <w:unhideWhenUsed/>
    <w:rsid w:val="003E5B95"/>
    <w:pPr>
      <w:spacing w:line="240" w:lineRule="auto"/>
      <w:ind w:firstLine="0"/>
      <w:contextualSpacing w:val="0"/>
    </w:pPr>
    <w:rPr>
      <w:rFonts w:asciiTheme="minorHAnsi" w:hAnsiTheme="minorHAnsi"/>
      <w:kern w:val="0"/>
      <w:sz w:val="20"/>
      <w:lang w:eastAsia="en-US"/>
    </w:rPr>
  </w:style>
  <w:style w:type="character" w:customStyle="1" w:styleId="FootnoteTextChar">
    <w:name w:val="Footnote Text Char"/>
    <w:basedOn w:val="DefaultParagraphFont"/>
    <w:link w:val="FootnoteText"/>
    <w:uiPriority w:val="99"/>
    <w:semiHidden/>
    <w:rsid w:val="003E5B95"/>
    <w:rPr>
      <w:sz w:val="20"/>
      <w:szCs w:val="20"/>
    </w:rPr>
  </w:style>
  <w:style w:type="character" w:styleId="FootnoteReference">
    <w:name w:val="footnote reference"/>
    <w:basedOn w:val="DefaultParagraphFont"/>
    <w:uiPriority w:val="99"/>
    <w:semiHidden/>
    <w:unhideWhenUsed/>
    <w:rsid w:val="003E5B95"/>
    <w:rPr>
      <w:vertAlign w:val="superscript"/>
    </w:rPr>
  </w:style>
  <w:style w:type="table" w:styleId="TableGridLight">
    <w:name w:val="Grid Table Light"/>
    <w:basedOn w:val="TableNormal"/>
    <w:uiPriority w:val="40"/>
    <w:rsid w:val="003E5B9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E5B9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3E5B95"/>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EndnoteText">
    <w:name w:val="endnote text"/>
    <w:basedOn w:val="Normal"/>
    <w:link w:val="EndnoteTextChar"/>
    <w:uiPriority w:val="99"/>
    <w:semiHidden/>
    <w:unhideWhenUsed/>
    <w:rsid w:val="003E5B95"/>
    <w:pPr>
      <w:spacing w:line="240" w:lineRule="auto"/>
      <w:ind w:firstLine="0"/>
      <w:contextualSpacing w:val="0"/>
    </w:pPr>
    <w:rPr>
      <w:rFonts w:asciiTheme="minorHAnsi" w:hAnsiTheme="minorHAnsi"/>
      <w:kern w:val="0"/>
      <w:sz w:val="20"/>
      <w:lang w:eastAsia="en-US"/>
    </w:rPr>
  </w:style>
  <w:style w:type="character" w:customStyle="1" w:styleId="EndnoteTextChar">
    <w:name w:val="Endnote Text Char"/>
    <w:basedOn w:val="DefaultParagraphFont"/>
    <w:link w:val="EndnoteText"/>
    <w:uiPriority w:val="99"/>
    <w:semiHidden/>
    <w:rsid w:val="003E5B95"/>
    <w:rPr>
      <w:sz w:val="20"/>
      <w:szCs w:val="20"/>
    </w:rPr>
  </w:style>
  <w:style w:type="character" w:styleId="EndnoteReference">
    <w:name w:val="endnote reference"/>
    <w:basedOn w:val="DefaultParagraphFont"/>
    <w:uiPriority w:val="99"/>
    <w:semiHidden/>
    <w:unhideWhenUsed/>
    <w:rsid w:val="003E5B95"/>
    <w:rPr>
      <w:vertAlign w:val="superscript"/>
    </w:rPr>
  </w:style>
  <w:style w:type="character" w:customStyle="1" w:styleId="updated-short-citation">
    <w:name w:val="updated-short-citation"/>
    <w:basedOn w:val="DefaultParagraphFont"/>
    <w:rsid w:val="003E5B95"/>
  </w:style>
  <w:style w:type="character" w:customStyle="1" w:styleId="UnresolvedMention2">
    <w:name w:val="Unresolved Mention2"/>
    <w:basedOn w:val="DefaultParagraphFont"/>
    <w:uiPriority w:val="99"/>
    <w:semiHidden/>
    <w:unhideWhenUsed/>
    <w:rsid w:val="003E5B95"/>
    <w:rPr>
      <w:color w:val="605E5C"/>
      <w:shd w:val="clear" w:color="auto" w:fill="E1DFDD"/>
    </w:rPr>
  </w:style>
  <w:style w:type="character" w:styleId="FollowedHyperlink">
    <w:name w:val="FollowedHyperlink"/>
    <w:basedOn w:val="DefaultParagraphFont"/>
    <w:uiPriority w:val="99"/>
    <w:semiHidden/>
    <w:unhideWhenUsed/>
    <w:rsid w:val="003E5B95"/>
    <w:rPr>
      <w:color w:val="954F72" w:themeColor="followedHyperlink"/>
      <w:u w:val="single"/>
    </w:rPr>
  </w:style>
  <w:style w:type="character" w:styleId="Strong">
    <w:name w:val="Strong"/>
    <w:basedOn w:val="DefaultParagraphFont"/>
    <w:uiPriority w:val="22"/>
    <w:qFormat/>
    <w:rsid w:val="003E5B95"/>
    <w:rPr>
      <w:b/>
      <w:bCs/>
    </w:rPr>
  </w:style>
  <w:style w:type="paragraph" w:styleId="NoSpacing">
    <w:name w:val="No Spacing"/>
    <w:link w:val="NoSpacingChar"/>
    <w:uiPriority w:val="1"/>
    <w:qFormat/>
    <w:rsid w:val="003E5B95"/>
    <w:pPr>
      <w:spacing w:after="0" w:line="240" w:lineRule="auto"/>
    </w:pPr>
  </w:style>
  <w:style w:type="character" w:customStyle="1" w:styleId="NoSpacingChar">
    <w:name w:val="No Spacing Char"/>
    <w:basedOn w:val="DefaultParagraphFont"/>
    <w:link w:val="NoSpacing"/>
    <w:uiPriority w:val="1"/>
    <w:rsid w:val="003E5B95"/>
  </w:style>
  <w:style w:type="paragraph" w:styleId="Revision">
    <w:name w:val="Revision"/>
    <w:hidden/>
    <w:uiPriority w:val="99"/>
    <w:semiHidden/>
    <w:rsid w:val="003E5B95"/>
    <w:pPr>
      <w:spacing w:after="0" w:line="240" w:lineRule="auto"/>
    </w:pPr>
  </w:style>
  <w:style w:type="character" w:customStyle="1" w:styleId="UnresolvedMention3">
    <w:name w:val="Unresolved Mention3"/>
    <w:basedOn w:val="DefaultParagraphFont"/>
    <w:uiPriority w:val="99"/>
    <w:semiHidden/>
    <w:unhideWhenUsed/>
    <w:rsid w:val="003E5B95"/>
    <w:rPr>
      <w:color w:val="605E5C"/>
      <w:shd w:val="clear" w:color="auto" w:fill="E1DFDD"/>
    </w:rPr>
  </w:style>
  <w:style w:type="character" w:customStyle="1" w:styleId="UnresolvedMention4">
    <w:name w:val="Unresolved Mention4"/>
    <w:basedOn w:val="DefaultParagraphFont"/>
    <w:uiPriority w:val="99"/>
    <w:semiHidden/>
    <w:unhideWhenUsed/>
    <w:rsid w:val="003E5B95"/>
    <w:rPr>
      <w:color w:val="605E5C"/>
      <w:shd w:val="clear" w:color="auto" w:fill="E1DFDD"/>
    </w:rPr>
  </w:style>
  <w:style w:type="character" w:customStyle="1" w:styleId="UnresolvedMention5">
    <w:name w:val="Unresolved Mention5"/>
    <w:basedOn w:val="DefaultParagraphFont"/>
    <w:uiPriority w:val="99"/>
    <w:semiHidden/>
    <w:unhideWhenUsed/>
    <w:rsid w:val="003E5B95"/>
    <w:rPr>
      <w:color w:val="605E5C"/>
      <w:shd w:val="clear" w:color="auto" w:fill="E1DFDD"/>
    </w:rPr>
  </w:style>
  <w:style w:type="character" w:customStyle="1" w:styleId="UnresolvedMention6">
    <w:name w:val="Unresolved Mention6"/>
    <w:basedOn w:val="DefaultParagraphFont"/>
    <w:uiPriority w:val="99"/>
    <w:semiHidden/>
    <w:unhideWhenUsed/>
    <w:rsid w:val="003E5B95"/>
    <w:rPr>
      <w:color w:val="605E5C"/>
      <w:shd w:val="clear" w:color="auto" w:fill="E1DFDD"/>
    </w:rPr>
  </w:style>
  <w:style w:type="character" w:customStyle="1" w:styleId="UnresolvedMention7">
    <w:name w:val="Unresolved Mention7"/>
    <w:basedOn w:val="DefaultParagraphFont"/>
    <w:uiPriority w:val="99"/>
    <w:semiHidden/>
    <w:unhideWhenUsed/>
    <w:rsid w:val="003E5B95"/>
    <w:rPr>
      <w:color w:val="605E5C"/>
      <w:shd w:val="clear" w:color="auto" w:fill="E1DFDD"/>
    </w:rPr>
  </w:style>
  <w:style w:type="character" w:customStyle="1" w:styleId="UnresolvedMention8">
    <w:name w:val="Unresolved Mention8"/>
    <w:basedOn w:val="DefaultParagraphFont"/>
    <w:uiPriority w:val="99"/>
    <w:semiHidden/>
    <w:unhideWhenUsed/>
    <w:rsid w:val="003E5B95"/>
    <w:rPr>
      <w:color w:val="605E5C"/>
      <w:shd w:val="clear" w:color="auto" w:fill="E1DFDD"/>
    </w:rPr>
  </w:style>
  <w:style w:type="paragraph" w:customStyle="1" w:styleId="FigureStyle-Dissertation">
    <w:name w:val="Figure Style-Dissertation"/>
    <w:basedOn w:val="Normal"/>
    <w:link w:val="FigureStyle-DissertationChar"/>
    <w:qFormat/>
    <w:rsid w:val="003E5B95"/>
    <w:pPr>
      <w:spacing w:line="240" w:lineRule="auto"/>
    </w:pPr>
    <w:rPr>
      <w:sz w:val="22"/>
      <w:szCs w:val="22"/>
    </w:rPr>
  </w:style>
  <w:style w:type="numbering" w:customStyle="1" w:styleId="NoList2">
    <w:name w:val="No List2"/>
    <w:next w:val="NoList"/>
    <w:uiPriority w:val="99"/>
    <w:semiHidden/>
    <w:unhideWhenUsed/>
    <w:rsid w:val="003E5B95"/>
  </w:style>
  <w:style w:type="character" w:customStyle="1" w:styleId="FigureStyle-DissertationChar">
    <w:name w:val="Figure Style-Dissertation Char"/>
    <w:basedOn w:val="DefaultParagraphFont"/>
    <w:link w:val="FigureStyle-Dissertation"/>
    <w:rsid w:val="003E5B95"/>
    <w:rPr>
      <w:rFonts w:ascii="Times New Roman" w:hAnsi="Times New Roman"/>
      <w:kern w:val="20"/>
      <w:lang w:eastAsia="ja-JP"/>
    </w:rPr>
  </w:style>
  <w:style w:type="table" w:customStyle="1" w:styleId="TableGrid1">
    <w:name w:val="Table Grid1"/>
    <w:basedOn w:val="TableNormal"/>
    <w:next w:val="TableGrid"/>
    <w:uiPriority w:val="39"/>
    <w:rsid w:val="003E5B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1">
    <w:name w:val="Plain Table 41"/>
    <w:basedOn w:val="TableNormal"/>
    <w:next w:val="PlainTable4"/>
    <w:uiPriority w:val="44"/>
    <w:rsid w:val="003E5B9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3">
    <w:name w:val="No List3"/>
    <w:next w:val="NoList"/>
    <w:uiPriority w:val="99"/>
    <w:semiHidden/>
    <w:unhideWhenUsed/>
    <w:rsid w:val="003E5B95"/>
  </w:style>
  <w:style w:type="numbering" w:customStyle="1" w:styleId="NoList4">
    <w:name w:val="No List4"/>
    <w:next w:val="NoList"/>
    <w:uiPriority w:val="99"/>
    <w:semiHidden/>
    <w:unhideWhenUsed/>
    <w:rsid w:val="003E5B95"/>
  </w:style>
  <w:style w:type="character" w:customStyle="1" w:styleId="il">
    <w:name w:val="il"/>
    <w:basedOn w:val="DefaultParagraphFont"/>
    <w:rsid w:val="003E5B95"/>
  </w:style>
  <w:style w:type="paragraph" w:customStyle="1" w:styleId="Text">
    <w:name w:val="Text"/>
    <w:basedOn w:val="Normal"/>
    <w:uiPriority w:val="99"/>
    <w:rsid w:val="003E5B95"/>
    <w:pPr>
      <w:autoSpaceDE w:val="0"/>
      <w:autoSpaceDN w:val="0"/>
      <w:adjustRightInd w:val="0"/>
      <w:spacing w:after="160" w:line="259" w:lineRule="auto"/>
      <w:ind w:firstLine="0"/>
      <w:contextualSpacing w:val="0"/>
    </w:pPr>
    <w:rPr>
      <w:rFonts w:ascii="Calibri" w:hAnsi="Calibri" w:cs="Calibri"/>
      <w:kern w:val="0"/>
      <w:sz w:val="22"/>
      <w:szCs w:val="22"/>
      <w:lang w:eastAsia="en-US"/>
    </w:rPr>
  </w:style>
  <w:style w:type="paragraph" w:customStyle="1" w:styleId="Caption1">
    <w:name w:val="Caption1"/>
    <w:link w:val="captionChar"/>
    <w:qFormat/>
    <w:rsid w:val="003E5B95"/>
    <w:pPr>
      <w:widowControl w:val="0"/>
      <w:spacing w:after="0" w:line="240" w:lineRule="auto"/>
    </w:pPr>
    <w:rPr>
      <w:rFonts w:ascii="Arial" w:eastAsia="Times New Roman" w:hAnsi="Arial" w:cs="Arial"/>
      <w:b/>
      <w:bCs/>
    </w:rPr>
  </w:style>
  <w:style w:type="character" w:customStyle="1" w:styleId="captionChar">
    <w:name w:val="caption Char"/>
    <w:basedOn w:val="DefaultParagraphFont"/>
    <w:link w:val="Caption1"/>
    <w:rsid w:val="003E5B95"/>
    <w:rPr>
      <w:rFonts w:ascii="Arial" w:eastAsia="Times New Roman" w:hAnsi="Arial" w:cs="Arial"/>
      <w:b/>
      <w:bCs/>
    </w:rPr>
  </w:style>
  <w:style w:type="paragraph" w:customStyle="1" w:styleId="appendixtext">
    <w:name w:val="appendix text"/>
    <w:link w:val="appendixtextChar"/>
    <w:qFormat/>
    <w:rsid w:val="003E5B95"/>
    <w:pPr>
      <w:widowControl w:val="0"/>
      <w:spacing w:after="0" w:line="240" w:lineRule="auto"/>
    </w:pPr>
    <w:rPr>
      <w:rFonts w:ascii="Times New Roman" w:eastAsia="Times New Roman" w:hAnsi="Times New Roman" w:cs="Times New Roman"/>
      <w:szCs w:val="20"/>
    </w:rPr>
  </w:style>
  <w:style w:type="character" w:customStyle="1" w:styleId="appendixtextChar">
    <w:name w:val="appendix text Char"/>
    <w:basedOn w:val="DefaultParagraphFont"/>
    <w:link w:val="appendixtext"/>
    <w:rsid w:val="003E5B95"/>
    <w:rPr>
      <w:rFonts w:ascii="Times New Roman" w:eastAsia="Times New Roman" w:hAnsi="Times New Roman" w:cs="Times New Roman"/>
      <w:szCs w:val="20"/>
    </w:rPr>
  </w:style>
  <w:style w:type="paragraph" w:customStyle="1" w:styleId="tabtextappendix">
    <w:name w:val="tab text appendix"/>
    <w:link w:val="tabtextappendixChar"/>
    <w:qFormat/>
    <w:rsid w:val="003E5B95"/>
    <w:pPr>
      <w:widowControl w:val="0"/>
      <w:spacing w:after="0" w:line="240" w:lineRule="auto"/>
    </w:pPr>
    <w:rPr>
      <w:rFonts w:ascii="Arial" w:eastAsia="Times New Roman" w:hAnsi="Arial" w:cs="Arial"/>
      <w:color w:val="000000"/>
      <w:sz w:val="18"/>
      <w:szCs w:val="18"/>
    </w:rPr>
  </w:style>
  <w:style w:type="paragraph" w:customStyle="1" w:styleId="tabbullappendix">
    <w:name w:val="tab bull appendix"/>
    <w:link w:val="tabbullappendixChar"/>
    <w:qFormat/>
    <w:rsid w:val="003E5B95"/>
    <w:pPr>
      <w:widowControl w:val="0"/>
      <w:numPr>
        <w:numId w:val="5"/>
      </w:numPr>
      <w:spacing w:after="0" w:line="240" w:lineRule="auto"/>
      <w:ind w:left="305" w:hanging="270"/>
    </w:pPr>
    <w:rPr>
      <w:rFonts w:ascii="Arial" w:eastAsia="Times New Roman" w:hAnsi="Arial" w:cs="Arial"/>
      <w:color w:val="000000"/>
      <w:sz w:val="18"/>
      <w:szCs w:val="18"/>
    </w:rPr>
  </w:style>
  <w:style w:type="character" w:customStyle="1" w:styleId="tabtextappendixChar">
    <w:name w:val="tab text appendix Char"/>
    <w:basedOn w:val="DefaultParagraphFont"/>
    <w:link w:val="tabtextappendix"/>
    <w:rsid w:val="003E5B95"/>
    <w:rPr>
      <w:rFonts w:ascii="Arial" w:eastAsia="Times New Roman" w:hAnsi="Arial" w:cs="Arial"/>
      <w:color w:val="000000"/>
      <w:sz w:val="18"/>
      <w:szCs w:val="18"/>
    </w:rPr>
  </w:style>
  <w:style w:type="character" w:customStyle="1" w:styleId="tabbullappendixChar">
    <w:name w:val="tab bull appendix Char"/>
    <w:basedOn w:val="tabtextappendixChar"/>
    <w:link w:val="tabbullappendix"/>
    <w:rsid w:val="003E5B95"/>
    <w:rPr>
      <w:rFonts w:ascii="Arial" w:eastAsia="Times New Roman" w:hAnsi="Arial" w:cs="Arial"/>
      <w:color w:val="000000"/>
      <w:sz w:val="18"/>
      <w:szCs w:val="18"/>
    </w:rPr>
  </w:style>
  <w:style w:type="paragraph" w:styleId="NormalWeb">
    <w:name w:val="Normal (Web)"/>
    <w:basedOn w:val="Normal"/>
    <w:uiPriority w:val="99"/>
    <w:unhideWhenUsed/>
    <w:rsid w:val="003E5B95"/>
    <w:pPr>
      <w:spacing w:before="100" w:beforeAutospacing="1" w:after="100" w:afterAutospacing="1" w:line="240" w:lineRule="auto"/>
      <w:ind w:firstLine="0"/>
      <w:contextualSpacing w:val="0"/>
    </w:pPr>
    <w:rPr>
      <w:rFonts w:eastAsia="Times New Roman" w:cs="Times New Roman"/>
      <w:kern w:val="0"/>
      <w:szCs w:val="24"/>
      <w:lang w:eastAsia="en-US"/>
    </w:rPr>
  </w:style>
  <w:style w:type="paragraph" w:customStyle="1" w:styleId="Keyword">
    <w:name w:val="Keyword"/>
    <w:basedOn w:val="Normal"/>
    <w:next w:val="Heading1"/>
    <w:link w:val="KeywordChar"/>
    <w:rsid w:val="003E5B95"/>
    <w:pPr>
      <w:spacing w:line="240" w:lineRule="auto"/>
      <w:ind w:firstLine="720"/>
      <w:contextualSpacing w:val="0"/>
      <w:jc w:val="both"/>
    </w:pPr>
    <w:rPr>
      <w:rFonts w:ascii="Arial" w:eastAsia="SimSun" w:hAnsi="Arial" w:cs="Times New Roman"/>
      <w:kern w:val="0"/>
      <w:sz w:val="20"/>
      <w:lang w:eastAsia="en-US"/>
    </w:rPr>
  </w:style>
  <w:style w:type="character" w:customStyle="1" w:styleId="KeywordChar">
    <w:name w:val="Keyword Char"/>
    <w:link w:val="Keyword"/>
    <w:rsid w:val="003E5B95"/>
    <w:rPr>
      <w:rFonts w:ascii="Arial" w:eastAsia="SimSun" w:hAnsi="Arial" w:cs="Times New Roman"/>
      <w:sz w:val="20"/>
      <w:szCs w:val="20"/>
    </w:rPr>
  </w:style>
  <w:style w:type="numbering" w:customStyle="1" w:styleId="NoList5">
    <w:name w:val="No List5"/>
    <w:next w:val="NoList"/>
    <w:uiPriority w:val="99"/>
    <w:semiHidden/>
    <w:unhideWhenUsed/>
    <w:rsid w:val="003E5B95"/>
  </w:style>
  <w:style w:type="table" w:customStyle="1" w:styleId="TableGrid2">
    <w:name w:val="Table Grid2"/>
    <w:basedOn w:val="TableNormal"/>
    <w:next w:val="TableGrid"/>
    <w:uiPriority w:val="39"/>
    <w:rsid w:val="003E5B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PlainTable42">
    <w:name w:val="Plain Table 42"/>
    <w:basedOn w:val="TableNormal"/>
    <w:next w:val="PlainTable4"/>
    <w:uiPriority w:val="44"/>
    <w:rsid w:val="003E5B9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numbering" w:customStyle="1" w:styleId="NoList6">
    <w:name w:val="No List6"/>
    <w:next w:val="NoList"/>
    <w:uiPriority w:val="99"/>
    <w:semiHidden/>
    <w:unhideWhenUsed/>
    <w:rsid w:val="003E5B95"/>
  </w:style>
  <w:style w:type="character" w:customStyle="1" w:styleId="CommentSubjectChar1">
    <w:name w:val="Comment Subject Char1"/>
    <w:basedOn w:val="CommentTextChar"/>
    <w:uiPriority w:val="99"/>
    <w:semiHidden/>
    <w:rsid w:val="003E5B95"/>
    <w:rPr>
      <w:rFonts w:ascii="Times New Roman" w:hAnsi="Times New Roman"/>
      <w:b/>
      <w:bCs/>
      <w:kern w:val="20"/>
      <w:sz w:val="20"/>
      <w:szCs w:val="20"/>
      <w:lang w:eastAsia="ja-JP"/>
    </w:rPr>
  </w:style>
  <w:style w:type="character" w:styleId="PlaceholderText">
    <w:name w:val="Placeholder Text"/>
    <w:basedOn w:val="DefaultParagraphFont"/>
    <w:uiPriority w:val="99"/>
    <w:semiHidden/>
    <w:rsid w:val="003E5B95"/>
    <w:rPr>
      <w:color w:val="808080"/>
    </w:rPr>
  </w:style>
  <w:style w:type="character" w:styleId="IntenseReference">
    <w:name w:val="Intense Reference"/>
    <w:basedOn w:val="DefaultParagraphFont"/>
    <w:uiPriority w:val="32"/>
    <w:qFormat/>
    <w:rsid w:val="003E5B95"/>
    <w:rPr>
      <w:rFonts w:ascii="Times New Roman" w:hAnsi="Times New Roman"/>
      <w:b/>
      <w:bCs/>
      <w:smallCaps/>
      <w:color w:val="auto"/>
      <w:spacing w:val="5"/>
      <w:sz w:val="24"/>
    </w:rPr>
  </w:style>
  <w:style w:type="paragraph" w:styleId="Quote">
    <w:name w:val="Quote"/>
    <w:basedOn w:val="Normal"/>
    <w:next w:val="Normal"/>
    <w:link w:val="QuoteChar"/>
    <w:uiPriority w:val="29"/>
    <w:qFormat/>
    <w:rsid w:val="003E5B95"/>
    <w:pPr>
      <w:spacing w:before="200" w:after="160" w:line="259" w:lineRule="auto"/>
      <w:ind w:left="864" w:right="864" w:firstLine="0"/>
      <w:contextualSpacing w:val="0"/>
      <w:jc w:val="center"/>
    </w:pPr>
    <w:rPr>
      <w:rFonts w:asciiTheme="minorHAnsi" w:hAnsiTheme="minorHAnsi"/>
      <w:i/>
      <w:iCs/>
      <w:color w:val="404040" w:themeColor="text1" w:themeTint="BF"/>
      <w:kern w:val="0"/>
      <w:sz w:val="22"/>
      <w:szCs w:val="22"/>
      <w:lang w:eastAsia="en-US"/>
    </w:rPr>
  </w:style>
  <w:style w:type="character" w:customStyle="1" w:styleId="QuoteChar">
    <w:name w:val="Quote Char"/>
    <w:basedOn w:val="DefaultParagraphFont"/>
    <w:link w:val="Quote"/>
    <w:uiPriority w:val="29"/>
    <w:rsid w:val="003E5B95"/>
    <w:rPr>
      <w:i/>
      <w:iCs/>
      <w:color w:val="404040" w:themeColor="text1" w:themeTint="BF"/>
    </w:rPr>
  </w:style>
  <w:style w:type="character" w:styleId="UnresolvedMention">
    <w:name w:val="Unresolved Mention"/>
    <w:basedOn w:val="DefaultParagraphFont"/>
    <w:uiPriority w:val="99"/>
    <w:semiHidden/>
    <w:unhideWhenUsed/>
    <w:rsid w:val="00AD5D3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jpg"/><Relationship Id="rId18" Type="http://schemas.openxmlformats.org/officeDocument/2006/relationships/image" Target="media/image5.png"/><Relationship Id="rId26" Type="http://schemas.openxmlformats.org/officeDocument/2006/relationships/image" Target="media/image8.JPG"/><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image" Target="media/image4.png"/><Relationship Id="rId25" Type="http://schemas.openxmlformats.org/officeDocument/2006/relationships/image" Target="media/image7.png"/><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image" Target="media/image6.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footer" Target="footer4.xml"/><Relationship Id="rId23" Type="http://schemas.openxmlformats.org/officeDocument/2006/relationships/footer" Target="footer7.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2.jpeg"/><Relationship Id="rId22" Type="http://schemas.openxmlformats.org/officeDocument/2006/relationships/footer" Target="footer6.xml"/><Relationship Id="rId27"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_rels/footnotes.xml.rels><?xml version="1.0" encoding="UTF-8" standalone="yes"?>
<Relationships xmlns="http://schemas.openxmlformats.org/package/2006/relationships"><Relationship Id="rId1" Type="http://schemas.openxmlformats.org/officeDocument/2006/relationships/hyperlink" Target="https://www.bls.gov/ooh/computer-and-information-technology/information-security-analysts.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AB0723-9B2A-494C-BE92-1C479774C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952</TotalTime>
  <Pages>1</Pages>
  <Words>70993</Words>
  <Characters>404665</Characters>
  <Application>Microsoft Office Word</Application>
  <DocSecurity>0</DocSecurity>
  <Lines>3372</Lines>
  <Paragraphs>949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474709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Tripti Singh</dc:creator>
  <cp:keywords/>
  <dc:description/>
  <cp:lastModifiedBy>Tripti Singh</cp:lastModifiedBy>
  <cp:revision>23</cp:revision>
  <dcterms:created xsi:type="dcterms:W3CDTF">2021-06-10T20:25:00Z</dcterms:created>
  <dcterms:modified xsi:type="dcterms:W3CDTF">2021-06-12T16:51:00Z</dcterms:modified>
</cp:coreProperties>
</file>